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1" Type="http://schemas.openxmlformats.org/package/2006/relationships/metadata/core-properties" Target="docProps/core.xml"/><Relationship Id="rId2" Type="http://schemas.openxmlformats.org/officeDocument/2006/relationships/extended-properties" Target="docProps/app.xml"/><Relationship Id="rId3" Type="http://schemas.openxmlformats.org/officeDocument/2006/relationships/custom-properties" Target="docProps/custom.xml"/><Relationship Id="rId4" Type="http://schemas.openxmlformats.org/officeDocument/2006/relationships/officeDocument" Target="word/document.xml"/></Relationships>
</file>

<file path=word/document.xml><?xml version="1.0" encoding="utf-8"?>
<w:document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body>
    <w:p>
      <w:pPr>
        <w:pStyle w:val="Normal"/>
        <w:jc w:val="center"/>
        <w:rPr/>
      </w:pPr>
      <w:r>
        <w:rPr/>
        <w:drawing>
          <wp:inline distT="0" distB="0" distL="0" distR="0">
            <wp:extent cx="5943600" cy="3962400"/>
            <wp:effectExtent l="0" t="0" r="0" b="0"/>
            <wp:docPr id="1" name="Picture 1"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
                    <pic:cNvPicPr>
                      <a:picLocks noChangeAspect="1" noChangeArrowheads="1"/>
                    </pic:cNvPicPr>
                  </pic:nvPicPr>
                  <pic:blipFill>
                    <a:blip r:embed="rId2"/>
                    <a:stretch>
                      <a:fillRect/>
                    </a:stretch>
                  </pic:blipFill>
                  <pic:spPr bwMode="auto">
                    <a:xfrm>
                      <a:off x="0" y="0"/>
                      <a:ext cx="5943600" cy="3962400"/>
                    </a:xfrm>
                    <a:prstGeom prst="rect">
                      <a:avLst/>
                    </a:prstGeom>
                  </pic:spPr>
                </pic:pic>
              </a:graphicData>
            </a:graphic>
          </wp:inline>
        </w:drawing>
      </w:r>
    </w:p>
    <w:p>
      <w:pPr>
        <w:pStyle w:val="Normal"/>
        <w:jc w:val="center"/>
        <w:rPr/>
      </w:pPr>
      <w:r>
        <w:rPr>
          <w:b/>
          <w:sz w:val="40"/>
        </w:rPr>
        <w:t>Terra Vita Eco Farm &amp; B&amp;B – MasterPlan 2025</w:t>
      </w:r>
    </w:p>
    <w:p>
      <w:pPr>
        <w:pStyle w:val="Normal"/>
        <w:jc w:val="center"/>
        <w:rPr/>
      </w:pPr>
      <w:r>
        <w:rPr/>
        <w:t>Investor Dossier – Confidential</w:t>
      </w:r>
    </w:p>
    <w:p>
      <w:pPr>
        <w:pStyle w:val="Normal"/>
        <w:rPr/>
      </w:pPr>
      <w:r>
        <w:rPr/>
      </w:r>
      <w:r>
        <w:br w:type="page"/>
      </w:r>
    </w:p>
    <w:p>
      <w:pPr>
        <w:pStyle w:val="Heading1"/>
        <w:spacing w:before="0" w:after="0"/>
        <w:rPr/>
      </w:pPr>
      <w:r>
        <w:rPr/>
        <w:t>Table of Contents</w:t>
      </w:r>
    </w:p>
    <w:tbl>
      <w:tblPr>
        <w:tblStyle w:val="TableGrid"/>
        <w:tblW w:w="8640" w:type="dxa"/>
        <w:jc w:val="left"/>
        <w:tblInd w:w="0" w:type="dxa"/>
        <w:tblLayout w:type="fixed"/>
        <w:tblCellMar>
          <w:top w:w="0" w:type="dxa"/>
          <w:left w:w="108" w:type="dxa"/>
          <w:bottom w:w="0" w:type="dxa"/>
          <w:right w:w="108" w:type="dxa"/>
        </w:tblCellMar>
        <w:tblLook w:firstRow="1" w:noVBand="1" w:lastRow="0" w:firstColumn="1" w:lastColumn="0" w:noHBand="0" w:val="04a0"/>
      </w:tblPr>
      <w:tblGrid>
        <w:gridCol w:w="4320"/>
        <w:gridCol w:w="4319"/>
      </w:tblGrid>
      <w:tr>
        <w:trPr/>
        <w:tc>
          <w:tcPr>
            <w:tcW w:w="4320" w:type="dxa"/>
            <w:tcBorders/>
          </w:tcPr>
          <w:p>
            <w:pPr>
              <w:pStyle w:val="Normal"/>
              <w:widowControl/>
              <w:suppressAutoHyphens w:val="true"/>
              <w:spacing w:lineRule="auto" w:line="240" w:before="0" w:after="0"/>
              <w:jc w:val="left"/>
              <w:rPr>
                <w:rFonts w:ascii="Cambria" w:hAnsi="Cambria" w:eastAsia="ＭＳ 明朝" w:cs=""/>
                <w:kern w:val="0"/>
                <w:sz w:val="22"/>
                <w:szCs w:val="22"/>
                <w:lang w:val="en-US" w:eastAsia="en-US" w:bidi="ar-SA"/>
              </w:rPr>
            </w:pPr>
            <w:r>
              <w:rPr>
                <w:rFonts w:eastAsia="ＭＳ 明朝" w:cs=""/>
                <w:kern w:val="0"/>
                <w:sz w:val="22"/>
                <w:szCs w:val="22"/>
                <w:lang w:val="en-US" w:eastAsia="en-US" w:bidi="ar-SA"/>
              </w:rPr>
              <w:t>Section</w:t>
            </w:r>
          </w:p>
        </w:tc>
        <w:tc>
          <w:tcPr>
            <w:tcW w:w="4319" w:type="dxa"/>
            <w:tcBorders/>
          </w:tcPr>
          <w:p>
            <w:pPr>
              <w:pStyle w:val="Normal"/>
              <w:widowControl/>
              <w:suppressAutoHyphens w:val="true"/>
              <w:spacing w:lineRule="auto" w:line="240" w:before="0" w:after="0"/>
              <w:jc w:val="left"/>
              <w:rPr>
                <w:rFonts w:ascii="Cambria" w:hAnsi="Cambria" w:eastAsia="ＭＳ 明朝" w:cs=""/>
                <w:kern w:val="0"/>
                <w:sz w:val="22"/>
                <w:szCs w:val="22"/>
                <w:lang w:val="en-US" w:eastAsia="en-US" w:bidi="ar-SA"/>
              </w:rPr>
            </w:pPr>
            <w:r>
              <w:rPr>
                <w:rFonts w:eastAsia="ＭＳ 明朝" w:cs=""/>
                <w:kern w:val="0"/>
                <w:sz w:val="22"/>
                <w:szCs w:val="22"/>
                <w:lang w:val="en-US" w:eastAsia="en-US" w:bidi="ar-SA"/>
              </w:rPr>
              <w:t>Page</w:t>
            </w:r>
          </w:p>
        </w:tc>
      </w:tr>
      <w:tr>
        <w:trPr/>
        <w:tc>
          <w:tcPr>
            <w:tcW w:w="4320" w:type="dxa"/>
            <w:tcBorders/>
          </w:tcPr>
          <w:p>
            <w:pPr>
              <w:pStyle w:val="Normal"/>
              <w:widowControl/>
              <w:suppressAutoHyphens w:val="true"/>
              <w:spacing w:lineRule="auto" w:line="240" w:before="0" w:after="0"/>
              <w:jc w:val="left"/>
              <w:rPr>
                <w:rFonts w:ascii="Cambria" w:hAnsi="Cambria" w:eastAsia="ＭＳ 明朝" w:cs=""/>
                <w:kern w:val="0"/>
                <w:sz w:val="22"/>
                <w:szCs w:val="22"/>
                <w:lang w:val="en-US" w:eastAsia="en-US" w:bidi="ar-SA"/>
              </w:rPr>
            </w:pPr>
            <w:r>
              <w:rPr>
                <w:rFonts w:eastAsia="ＭＳ 明朝" w:cs=""/>
                <w:kern w:val="0"/>
                <w:sz w:val="22"/>
                <w:szCs w:val="22"/>
                <w:lang w:val="en-US" w:eastAsia="en-US" w:bidi="ar-SA"/>
              </w:rPr>
              <w:t>Table of Contents</w:t>
            </w:r>
          </w:p>
        </w:tc>
        <w:tc>
          <w:tcPr>
            <w:tcW w:w="4319" w:type="dxa"/>
            <w:tcBorders/>
          </w:tcPr>
          <w:p>
            <w:pPr>
              <w:pStyle w:val="Normal"/>
              <w:widowControl/>
              <w:suppressAutoHyphens w:val="true"/>
              <w:spacing w:lineRule="auto" w:line="240" w:before="0" w:after="0"/>
              <w:jc w:val="left"/>
              <w:rPr>
                <w:rFonts w:ascii="Cambria" w:hAnsi="Cambria" w:eastAsia="ＭＳ 明朝" w:cs=""/>
                <w:kern w:val="0"/>
                <w:sz w:val="22"/>
                <w:szCs w:val="22"/>
                <w:lang w:val="en-US" w:eastAsia="en-US" w:bidi="ar-SA"/>
              </w:rPr>
            </w:pPr>
            <w:r>
              <w:rPr>
                <w:rFonts w:eastAsia="ＭＳ 明朝" w:cs=""/>
                <w:kern w:val="0"/>
                <w:sz w:val="22"/>
                <w:szCs w:val="22"/>
                <w:lang w:val="en-US" w:eastAsia="en-US" w:bidi="ar-SA"/>
              </w:rPr>
              <w:t>i</w:t>
            </w:r>
          </w:p>
        </w:tc>
      </w:tr>
      <w:tr>
        <w:trPr/>
        <w:tc>
          <w:tcPr>
            <w:tcW w:w="4320" w:type="dxa"/>
            <w:tcBorders/>
          </w:tcPr>
          <w:p>
            <w:pPr>
              <w:pStyle w:val="Normal"/>
              <w:widowControl/>
              <w:suppressAutoHyphens w:val="true"/>
              <w:spacing w:lineRule="auto" w:line="240" w:before="0" w:after="0"/>
              <w:jc w:val="left"/>
              <w:rPr>
                <w:rFonts w:ascii="Cambria" w:hAnsi="Cambria" w:eastAsia="ＭＳ 明朝" w:cs=""/>
                <w:kern w:val="0"/>
                <w:sz w:val="22"/>
                <w:szCs w:val="22"/>
                <w:lang w:val="en-US" w:eastAsia="en-US" w:bidi="ar-SA"/>
              </w:rPr>
            </w:pPr>
            <w:r>
              <w:rPr>
                <w:rFonts w:eastAsia="ＭＳ 明朝" w:cs=""/>
                <w:kern w:val="0"/>
                <w:sz w:val="22"/>
                <w:szCs w:val="22"/>
                <w:lang w:val="en-US" w:eastAsia="en-US" w:bidi="ar-SA"/>
              </w:rPr>
              <w:t>Changelog</w:t>
            </w:r>
          </w:p>
        </w:tc>
        <w:tc>
          <w:tcPr>
            <w:tcW w:w="4319" w:type="dxa"/>
            <w:tcBorders/>
          </w:tcPr>
          <w:p>
            <w:pPr>
              <w:pStyle w:val="Normal"/>
              <w:widowControl/>
              <w:suppressAutoHyphens w:val="true"/>
              <w:spacing w:lineRule="auto" w:line="240" w:before="0" w:after="0"/>
              <w:jc w:val="left"/>
              <w:rPr>
                <w:rFonts w:ascii="Cambria" w:hAnsi="Cambria" w:eastAsia="ＭＳ 明朝" w:cs=""/>
                <w:kern w:val="0"/>
                <w:sz w:val="22"/>
                <w:szCs w:val="22"/>
                <w:lang w:val="en-US" w:eastAsia="en-US" w:bidi="ar-SA"/>
              </w:rPr>
            </w:pPr>
            <w:r>
              <w:rPr>
                <w:rFonts w:eastAsia="ＭＳ 明朝" w:cs=""/>
                <w:kern w:val="0"/>
                <w:sz w:val="22"/>
                <w:szCs w:val="22"/>
                <w:lang w:val="en-US" w:eastAsia="en-US" w:bidi="ar-SA"/>
              </w:rPr>
              <w:t>ii</w:t>
            </w:r>
          </w:p>
        </w:tc>
      </w:tr>
      <w:tr>
        <w:trPr/>
        <w:tc>
          <w:tcPr>
            <w:tcW w:w="4320" w:type="dxa"/>
            <w:tcBorders/>
          </w:tcPr>
          <w:p>
            <w:pPr>
              <w:pStyle w:val="Normal"/>
              <w:widowControl/>
              <w:suppressAutoHyphens w:val="true"/>
              <w:spacing w:lineRule="auto" w:line="240" w:before="0" w:after="0"/>
              <w:jc w:val="left"/>
              <w:rPr>
                <w:rFonts w:ascii="Cambria" w:hAnsi="Cambria" w:eastAsia="ＭＳ 明朝" w:cs=""/>
                <w:kern w:val="0"/>
                <w:sz w:val="22"/>
                <w:szCs w:val="22"/>
                <w:lang w:val="en-US" w:eastAsia="en-US" w:bidi="ar-SA"/>
              </w:rPr>
            </w:pPr>
            <w:r>
              <w:rPr>
                <w:rFonts w:eastAsia="ＭＳ 明朝" w:cs=""/>
                <w:kern w:val="0"/>
                <w:sz w:val="22"/>
                <w:szCs w:val="22"/>
                <w:lang w:val="en-US" w:eastAsia="en-US" w:bidi="ar-SA"/>
              </w:rPr>
              <w:t>Executive Summary</w:t>
            </w:r>
          </w:p>
        </w:tc>
        <w:tc>
          <w:tcPr>
            <w:tcW w:w="4319" w:type="dxa"/>
            <w:tcBorders/>
          </w:tcPr>
          <w:p>
            <w:pPr>
              <w:pStyle w:val="Normal"/>
              <w:widowControl/>
              <w:suppressAutoHyphens w:val="true"/>
              <w:spacing w:lineRule="auto" w:line="240" w:before="0" w:after="0"/>
              <w:jc w:val="left"/>
              <w:rPr>
                <w:rFonts w:ascii="Cambria" w:hAnsi="Cambria" w:eastAsia="ＭＳ 明朝" w:cs=""/>
                <w:kern w:val="0"/>
                <w:sz w:val="22"/>
                <w:szCs w:val="22"/>
                <w:lang w:val="en-US" w:eastAsia="en-US" w:bidi="ar-SA"/>
              </w:rPr>
            </w:pPr>
            <w:r>
              <w:rPr>
                <w:rFonts w:eastAsia="ＭＳ 明朝" w:cs=""/>
                <w:kern w:val="0"/>
                <w:sz w:val="22"/>
                <w:szCs w:val="22"/>
                <w:lang w:val="en-US" w:eastAsia="en-US" w:bidi="ar-SA"/>
              </w:rPr>
              <w:t>1</w:t>
            </w:r>
          </w:p>
        </w:tc>
      </w:tr>
      <w:tr>
        <w:trPr/>
        <w:tc>
          <w:tcPr>
            <w:tcW w:w="4320" w:type="dxa"/>
            <w:tcBorders/>
          </w:tcPr>
          <w:p>
            <w:pPr>
              <w:pStyle w:val="Normal"/>
              <w:widowControl/>
              <w:suppressAutoHyphens w:val="true"/>
              <w:spacing w:lineRule="auto" w:line="240" w:before="0" w:after="0"/>
              <w:jc w:val="left"/>
              <w:rPr>
                <w:rFonts w:ascii="Cambria" w:hAnsi="Cambria" w:eastAsia="ＭＳ 明朝" w:cs=""/>
                <w:kern w:val="0"/>
                <w:sz w:val="22"/>
                <w:szCs w:val="22"/>
                <w:lang w:val="en-US" w:eastAsia="en-US" w:bidi="ar-SA"/>
              </w:rPr>
            </w:pPr>
            <w:r>
              <w:rPr>
                <w:rFonts w:eastAsia="ＭＳ 明朝" w:cs=""/>
                <w:kern w:val="0"/>
                <w:sz w:val="22"/>
                <w:szCs w:val="22"/>
                <w:lang w:val="en-US" w:eastAsia="en-US" w:bidi="ar-SA"/>
              </w:rPr>
              <w:t>Company Overview</w:t>
            </w:r>
          </w:p>
        </w:tc>
        <w:tc>
          <w:tcPr>
            <w:tcW w:w="4319" w:type="dxa"/>
            <w:tcBorders/>
          </w:tcPr>
          <w:p>
            <w:pPr>
              <w:pStyle w:val="Normal"/>
              <w:widowControl/>
              <w:suppressAutoHyphens w:val="true"/>
              <w:spacing w:lineRule="auto" w:line="240" w:before="0" w:after="0"/>
              <w:jc w:val="left"/>
              <w:rPr>
                <w:rFonts w:ascii="Cambria" w:hAnsi="Cambria" w:eastAsia="ＭＳ 明朝" w:cs=""/>
                <w:kern w:val="0"/>
                <w:sz w:val="22"/>
                <w:szCs w:val="22"/>
                <w:lang w:val="en-US" w:eastAsia="en-US" w:bidi="ar-SA"/>
              </w:rPr>
            </w:pPr>
            <w:r>
              <w:rPr>
                <w:rFonts w:eastAsia="ＭＳ 明朝" w:cs=""/>
                <w:kern w:val="0"/>
                <w:sz w:val="22"/>
                <w:szCs w:val="22"/>
                <w:lang w:val="en-US" w:eastAsia="en-US" w:bidi="ar-SA"/>
              </w:rPr>
              <w:t>3</w:t>
            </w:r>
          </w:p>
        </w:tc>
      </w:tr>
      <w:tr>
        <w:trPr/>
        <w:tc>
          <w:tcPr>
            <w:tcW w:w="4320" w:type="dxa"/>
            <w:tcBorders/>
          </w:tcPr>
          <w:p>
            <w:pPr>
              <w:pStyle w:val="Normal"/>
              <w:widowControl/>
              <w:suppressAutoHyphens w:val="true"/>
              <w:spacing w:lineRule="auto" w:line="240" w:before="0" w:after="0"/>
              <w:jc w:val="left"/>
              <w:rPr>
                <w:rFonts w:ascii="Cambria" w:hAnsi="Cambria" w:eastAsia="ＭＳ 明朝" w:cs=""/>
                <w:kern w:val="0"/>
                <w:sz w:val="22"/>
                <w:szCs w:val="22"/>
                <w:lang w:val="en-US" w:eastAsia="en-US" w:bidi="ar-SA"/>
              </w:rPr>
            </w:pPr>
            <w:r>
              <w:rPr>
                <w:rFonts w:eastAsia="ＭＳ 明朝" w:cs=""/>
                <w:kern w:val="0"/>
                <w:sz w:val="22"/>
                <w:szCs w:val="22"/>
                <w:lang w:val="en-US" w:eastAsia="en-US" w:bidi="ar-SA"/>
              </w:rPr>
              <w:t>Market Analysis</w:t>
            </w:r>
          </w:p>
        </w:tc>
        <w:tc>
          <w:tcPr>
            <w:tcW w:w="4319" w:type="dxa"/>
            <w:tcBorders/>
          </w:tcPr>
          <w:p>
            <w:pPr>
              <w:pStyle w:val="Normal"/>
              <w:widowControl/>
              <w:suppressAutoHyphens w:val="true"/>
              <w:spacing w:lineRule="auto" w:line="240" w:before="0" w:after="0"/>
              <w:jc w:val="left"/>
              <w:rPr>
                <w:rFonts w:ascii="Cambria" w:hAnsi="Cambria" w:eastAsia="ＭＳ 明朝" w:cs=""/>
                <w:kern w:val="0"/>
                <w:sz w:val="22"/>
                <w:szCs w:val="22"/>
                <w:lang w:val="en-US" w:eastAsia="en-US" w:bidi="ar-SA"/>
              </w:rPr>
            </w:pPr>
            <w:r>
              <w:rPr>
                <w:rFonts w:eastAsia="ＭＳ 明朝" w:cs=""/>
                <w:kern w:val="0"/>
                <w:sz w:val="22"/>
                <w:szCs w:val="22"/>
                <w:lang w:val="en-US" w:eastAsia="en-US" w:bidi="ar-SA"/>
              </w:rPr>
              <w:t>6</w:t>
            </w:r>
          </w:p>
        </w:tc>
      </w:tr>
      <w:tr>
        <w:trPr/>
        <w:tc>
          <w:tcPr>
            <w:tcW w:w="4320" w:type="dxa"/>
            <w:tcBorders/>
          </w:tcPr>
          <w:p>
            <w:pPr>
              <w:pStyle w:val="Normal"/>
              <w:widowControl/>
              <w:suppressAutoHyphens w:val="true"/>
              <w:spacing w:lineRule="auto" w:line="240" w:before="0" w:after="0"/>
              <w:jc w:val="left"/>
              <w:rPr>
                <w:rFonts w:ascii="Cambria" w:hAnsi="Cambria" w:eastAsia="ＭＳ 明朝" w:cs=""/>
                <w:kern w:val="0"/>
                <w:sz w:val="22"/>
                <w:szCs w:val="22"/>
                <w:lang w:val="en-US" w:eastAsia="en-US" w:bidi="ar-SA"/>
              </w:rPr>
            </w:pPr>
            <w:r>
              <w:rPr>
                <w:rFonts w:eastAsia="ＭＳ 明朝" w:cs=""/>
                <w:kern w:val="0"/>
                <w:sz w:val="22"/>
                <w:szCs w:val="22"/>
                <w:lang w:val="en-US" w:eastAsia="en-US" w:bidi="ar-SA"/>
              </w:rPr>
              <w:t>Business Model</w:t>
            </w:r>
          </w:p>
        </w:tc>
        <w:tc>
          <w:tcPr>
            <w:tcW w:w="4319" w:type="dxa"/>
            <w:tcBorders/>
          </w:tcPr>
          <w:p>
            <w:pPr>
              <w:pStyle w:val="Normal"/>
              <w:widowControl/>
              <w:suppressAutoHyphens w:val="true"/>
              <w:spacing w:lineRule="auto" w:line="240" w:before="0" w:after="0"/>
              <w:jc w:val="left"/>
              <w:rPr>
                <w:rFonts w:ascii="Cambria" w:hAnsi="Cambria" w:eastAsia="ＭＳ 明朝" w:cs=""/>
                <w:kern w:val="0"/>
                <w:sz w:val="22"/>
                <w:szCs w:val="22"/>
                <w:lang w:val="en-US" w:eastAsia="en-US" w:bidi="ar-SA"/>
              </w:rPr>
            </w:pPr>
            <w:r>
              <w:rPr>
                <w:rFonts w:eastAsia="ＭＳ 明朝" w:cs=""/>
                <w:kern w:val="0"/>
                <w:sz w:val="22"/>
                <w:szCs w:val="22"/>
                <w:lang w:val="en-US" w:eastAsia="en-US" w:bidi="ar-SA"/>
              </w:rPr>
              <w:t>10</w:t>
            </w:r>
          </w:p>
        </w:tc>
      </w:tr>
      <w:tr>
        <w:trPr/>
        <w:tc>
          <w:tcPr>
            <w:tcW w:w="4320" w:type="dxa"/>
            <w:tcBorders/>
          </w:tcPr>
          <w:p>
            <w:pPr>
              <w:pStyle w:val="Normal"/>
              <w:widowControl/>
              <w:suppressAutoHyphens w:val="true"/>
              <w:spacing w:lineRule="auto" w:line="240" w:before="0" w:after="0"/>
              <w:jc w:val="left"/>
              <w:rPr>
                <w:rFonts w:ascii="Cambria" w:hAnsi="Cambria" w:eastAsia="ＭＳ 明朝" w:cs=""/>
                <w:kern w:val="0"/>
                <w:sz w:val="22"/>
                <w:szCs w:val="22"/>
                <w:lang w:val="en-US" w:eastAsia="en-US" w:bidi="ar-SA"/>
              </w:rPr>
            </w:pPr>
            <w:r>
              <w:rPr>
                <w:rFonts w:eastAsia="ＭＳ 明朝" w:cs=""/>
                <w:kern w:val="0"/>
                <w:sz w:val="22"/>
                <w:szCs w:val="22"/>
                <w:lang w:val="en-US" w:eastAsia="en-US" w:bidi="ar-SA"/>
              </w:rPr>
              <w:t>Operations Plan</w:t>
            </w:r>
          </w:p>
        </w:tc>
        <w:tc>
          <w:tcPr>
            <w:tcW w:w="4319" w:type="dxa"/>
            <w:tcBorders/>
          </w:tcPr>
          <w:p>
            <w:pPr>
              <w:pStyle w:val="Normal"/>
              <w:widowControl/>
              <w:suppressAutoHyphens w:val="true"/>
              <w:spacing w:lineRule="auto" w:line="240" w:before="0" w:after="0"/>
              <w:jc w:val="left"/>
              <w:rPr>
                <w:rFonts w:ascii="Cambria" w:hAnsi="Cambria" w:eastAsia="ＭＳ 明朝" w:cs=""/>
                <w:kern w:val="0"/>
                <w:sz w:val="22"/>
                <w:szCs w:val="22"/>
                <w:lang w:val="en-US" w:eastAsia="en-US" w:bidi="ar-SA"/>
              </w:rPr>
            </w:pPr>
            <w:r>
              <w:rPr>
                <w:rFonts w:eastAsia="ＭＳ 明朝" w:cs=""/>
                <w:kern w:val="0"/>
                <w:sz w:val="22"/>
                <w:szCs w:val="22"/>
                <w:lang w:val="en-US" w:eastAsia="en-US" w:bidi="ar-SA"/>
              </w:rPr>
              <w:t>14</w:t>
            </w:r>
          </w:p>
        </w:tc>
      </w:tr>
      <w:tr>
        <w:trPr/>
        <w:tc>
          <w:tcPr>
            <w:tcW w:w="4320" w:type="dxa"/>
            <w:tcBorders/>
          </w:tcPr>
          <w:p>
            <w:pPr>
              <w:pStyle w:val="Normal"/>
              <w:widowControl/>
              <w:suppressAutoHyphens w:val="true"/>
              <w:spacing w:lineRule="auto" w:line="240" w:before="0" w:after="0"/>
              <w:jc w:val="left"/>
              <w:rPr>
                <w:rFonts w:ascii="Cambria" w:hAnsi="Cambria" w:eastAsia="ＭＳ 明朝" w:cs=""/>
                <w:kern w:val="0"/>
                <w:sz w:val="22"/>
                <w:szCs w:val="22"/>
                <w:lang w:val="en-US" w:eastAsia="en-US" w:bidi="ar-SA"/>
              </w:rPr>
            </w:pPr>
            <w:r>
              <w:rPr>
                <w:rFonts w:eastAsia="ＭＳ 明朝" w:cs=""/>
                <w:kern w:val="0"/>
                <w:sz w:val="22"/>
                <w:szCs w:val="22"/>
                <w:lang w:val="en-US" w:eastAsia="en-US" w:bidi="ar-SA"/>
              </w:rPr>
              <w:t>ESG &amp; SDG Integration</w:t>
            </w:r>
          </w:p>
        </w:tc>
        <w:tc>
          <w:tcPr>
            <w:tcW w:w="4319" w:type="dxa"/>
            <w:tcBorders/>
          </w:tcPr>
          <w:p>
            <w:pPr>
              <w:pStyle w:val="Normal"/>
              <w:widowControl/>
              <w:suppressAutoHyphens w:val="true"/>
              <w:spacing w:lineRule="auto" w:line="240" w:before="0" w:after="0"/>
              <w:jc w:val="left"/>
              <w:rPr>
                <w:rFonts w:ascii="Cambria" w:hAnsi="Cambria" w:eastAsia="ＭＳ 明朝" w:cs=""/>
                <w:kern w:val="0"/>
                <w:sz w:val="22"/>
                <w:szCs w:val="22"/>
                <w:lang w:val="en-US" w:eastAsia="en-US" w:bidi="ar-SA"/>
              </w:rPr>
            </w:pPr>
            <w:r>
              <w:rPr>
                <w:rFonts w:eastAsia="ＭＳ 明朝" w:cs=""/>
                <w:kern w:val="0"/>
                <w:sz w:val="22"/>
                <w:szCs w:val="22"/>
                <w:lang w:val="en-US" w:eastAsia="en-US" w:bidi="ar-SA"/>
              </w:rPr>
              <w:t>18</w:t>
            </w:r>
          </w:p>
        </w:tc>
      </w:tr>
      <w:tr>
        <w:trPr/>
        <w:tc>
          <w:tcPr>
            <w:tcW w:w="4320" w:type="dxa"/>
            <w:tcBorders/>
          </w:tcPr>
          <w:p>
            <w:pPr>
              <w:pStyle w:val="Normal"/>
              <w:widowControl/>
              <w:suppressAutoHyphens w:val="true"/>
              <w:spacing w:lineRule="auto" w:line="240" w:before="0" w:after="0"/>
              <w:jc w:val="left"/>
              <w:rPr>
                <w:rFonts w:ascii="Cambria" w:hAnsi="Cambria" w:eastAsia="ＭＳ 明朝" w:cs=""/>
                <w:kern w:val="0"/>
                <w:sz w:val="22"/>
                <w:szCs w:val="22"/>
                <w:lang w:val="en-US" w:eastAsia="en-US" w:bidi="ar-SA"/>
              </w:rPr>
            </w:pPr>
            <w:r>
              <w:rPr>
                <w:rFonts w:eastAsia="ＭＳ 明朝" w:cs=""/>
                <w:kern w:val="0"/>
                <w:sz w:val="22"/>
                <w:szCs w:val="22"/>
                <w:lang w:val="en-US" w:eastAsia="en-US" w:bidi="ar-SA"/>
              </w:rPr>
              <w:t>Financial Plan</w:t>
            </w:r>
          </w:p>
        </w:tc>
        <w:tc>
          <w:tcPr>
            <w:tcW w:w="4319" w:type="dxa"/>
            <w:tcBorders/>
          </w:tcPr>
          <w:p>
            <w:pPr>
              <w:pStyle w:val="Normal"/>
              <w:widowControl/>
              <w:suppressAutoHyphens w:val="true"/>
              <w:spacing w:lineRule="auto" w:line="240" w:before="0" w:after="0"/>
              <w:jc w:val="left"/>
              <w:rPr>
                <w:rFonts w:ascii="Cambria" w:hAnsi="Cambria" w:eastAsia="ＭＳ 明朝" w:cs=""/>
                <w:kern w:val="0"/>
                <w:sz w:val="22"/>
                <w:szCs w:val="22"/>
                <w:lang w:val="en-US" w:eastAsia="en-US" w:bidi="ar-SA"/>
              </w:rPr>
            </w:pPr>
            <w:r>
              <w:rPr>
                <w:rFonts w:eastAsia="ＭＳ 明朝" w:cs=""/>
                <w:kern w:val="0"/>
                <w:sz w:val="22"/>
                <w:szCs w:val="22"/>
                <w:lang w:val="en-US" w:eastAsia="en-US" w:bidi="ar-SA"/>
              </w:rPr>
              <w:t>22</w:t>
            </w:r>
          </w:p>
        </w:tc>
      </w:tr>
      <w:tr>
        <w:trPr/>
        <w:tc>
          <w:tcPr>
            <w:tcW w:w="4320" w:type="dxa"/>
            <w:tcBorders/>
          </w:tcPr>
          <w:p>
            <w:pPr>
              <w:pStyle w:val="Normal"/>
              <w:widowControl/>
              <w:suppressAutoHyphens w:val="true"/>
              <w:spacing w:lineRule="auto" w:line="240" w:before="0" w:after="0"/>
              <w:jc w:val="left"/>
              <w:rPr>
                <w:rFonts w:ascii="Cambria" w:hAnsi="Cambria" w:eastAsia="ＭＳ 明朝" w:cs=""/>
                <w:kern w:val="0"/>
                <w:sz w:val="22"/>
                <w:szCs w:val="22"/>
                <w:lang w:val="en-US" w:eastAsia="en-US" w:bidi="ar-SA"/>
              </w:rPr>
            </w:pPr>
            <w:r>
              <w:rPr>
                <w:rFonts w:eastAsia="ＭＳ 明朝" w:cs=""/>
                <w:kern w:val="0"/>
                <w:sz w:val="22"/>
                <w:szCs w:val="22"/>
                <w:lang w:val="en-US" w:eastAsia="en-US" w:bidi="ar-SA"/>
              </w:rPr>
              <w:t>KPI Dashboard</w:t>
            </w:r>
          </w:p>
        </w:tc>
        <w:tc>
          <w:tcPr>
            <w:tcW w:w="4319" w:type="dxa"/>
            <w:tcBorders/>
          </w:tcPr>
          <w:p>
            <w:pPr>
              <w:pStyle w:val="Normal"/>
              <w:widowControl/>
              <w:suppressAutoHyphens w:val="true"/>
              <w:spacing w:lineRule="auto" w:line="240" w:before="0" w:after="0"/>
              <w:jc w:val="left"/>
              <w:rPr>
                <w:rFonts w:ascii="Cambria" w:hAnsi="Cambria" w:eastAsia="ＭＳ 明朝" w:cs=""/>
                <w:kern w:val="0"/>
                <w:sz w:val="22"/>
                <w:szCs w:val="22"/>
                <w:lang w:val="en-US" w:eastAsia="en-US" w:bidi="ar-SA"/>
              </w:rPr>
            </w:pPr>
            <w:r>
              <w:rPr>
                <w:rFonts w:eastAsia="ＭＳ 明朝" w:cs=""/>
                <w:kern w:val="0"/>
                <w:sz w:val="22"/>
                <w:szCs w:val="22"/>
                <w:lang w:val="en-US" w:eastAsia="en-US" w:bidi="ar-SA"/>
              </w:rPr>
              <w:t>26</w:t>
            </w:r>
          </w:p>
        </w:tc>
      </w:tr>
      <w:tr>
        <w:trPr/>
        <w:tc>
          <w:tcPr>
            <w:tcW w:w="4320" w:type="dxa"/>
            <w:tcBorders/>
          </w:tcPr>
          <w:p>
            <w:pPr>
              <w:pStyle w:val="Normal"/>
              <w:widowControl/>
              <w:suppressAutoHyphens w:val="true"/>
              <w:spacing w:lineRule="auto" w:line="240" w:before="0" w:after="0"/>
              <w:jc w:val="left"/>
              <w:rPr>
                <w:rFonts w:ascii="Cambria" w:hAnsi="Cambria" w:eastAsia="ＭＳ 明朝" w:cs=""/>
                <w:kern w:val="0"/>
                <w:sz w:val="22"/>
                <w:szCs w:val="22"/>
                <w:lang w:val="en-US" w:eastAsia="en-US" w:bidi="ar-SA"/>
              </w:rPr>
            </w:pPr>
            <w:r>
              <w:rPr>
                <w:rFonts w:eastAsia="ＭＳ 明朝" w:cs=""/>
                <w:kern w:val="0"/>
                <w:sz w:val="22"/>
                <w:szCs w:val="22"/>
                <w:lang w:val="en-US" w:eastAsia="en-US" w:bidi="ar-SA"/>
              </w:rPr>
              <w:t>ESG Impact</w:t>
            </w:r>
          </w:p>
        </w:tc>
        <w:tc>
          <w:tcPr>
            <w:tcW w:w="4319" w:type="dxa"/>
            <w:tcBorders/>
          </w:tcPr>
          <w:p>
            <w:pPr>
              <w:pStyle w:val="Normal"/>
              <w:widowControl/>
              <w:suppressAutoHyphens w:val="true"/>
              <w:spacing w:lineRule="auto" w:line="240" w:before="0" w:after="0"/>
              <w:jc w:val="left"/>
              <w:rPr>
                <w:rFonts w:ascii="Cambria" w:hAnsi="Cambria" w:eastAsia="ＭＳ 明朝" w:cs=""/>
                <w:kern w:val="0"/>
                <w:sz w:val="22"/>
                <w:szCs w:val="22"/>
                <w:lang w:val="en-US" w:eastAsia="en-US" w:bidi="ar-SA"/>
              </w:rPr>
            </w:pPr>
            <w:r>
              <w:rPr>
                <w:rFonts w:eastAsia="ＭＳ 明朝" w:cs=""/>
                <w:kern w:val="0"/>
                <w:sz w:val="22"/>
                <w:szCs w:val="22"/>
                <w:lang w:val="en-US" w:eastAsia="en-US" w:bidi="ar-SA"/>
              </w:rPr>
              <w:t>30</w:t>
            </w:r>
          </w:p>
        </w:tc>
      </w:tr>
      <w:tr>
        <w:trPr/>
        <w:tc>
          <w:tcPr>
            <w:tcW w:w="4320" w:type="dxa"/>
            <w:tcBorders/>
          </w:tcPr>
          <w:p>
            <w:pPr>
              <w:pStyle w:val="Normal"/>
              <w:widowControl/>
              <w:suppressAutoHyphens w:val="true"/>
              <w:spacing w:lineRule="auto" w:line="240" w:before="0" w:after="0"/>
              <w:jc w:val="left"/>
              <w:rPr>
                <w:rFonts w:ascii="Cambria" w:hAnsi="Cambria" w:eastAsia="ＭＳ 明朝" w:cs=""/>
                <w:kern w:val="0"/>
                <w:sz w:val="22"/>
                <w:szCs w:val="22"/>
                <w:lang w:val="en-US" w:eastAsia="en-US" w:bidi="ar-SA"/>
              </w:rPr>
            </w:pPr>
            <w:r>
              <w:rPr>
                <w:rFonts w:eastAsia="ＭＳ 明朝" w:cs=""/>
                <w:kern w:val="0"/>
                <w:sz w:val="22"/>
                <w:szCs w:val="22"/>
                <w:lang w:val="en-US" w:eastAsia="en-US" w:bidi="ar-SA"/>
              </w:rPr>
              <w:t>Funding &amp; Investment Offer</w:t>
            </w:r>
          </w:p>
        </w:tc>
        <w:tc>
          <w:tcPr>
            <w:tcW w:w="4319" w:type="dxa"/>
            <w:tcBorders/>
          </w:tcPr>
          <w:p>
            <w:pPr>
              <w:pStyle w:val="Normal"/>
              <w:widowControl/>
              <w:suppressAutoHyphens w:val="true"/>
              <w:spacing w:lineRule="auto" w:line="240" w:before="0" w:after="0"/>
              <w:jc w:val="left"/>
              <w:rPr>
                <w:rFonts w:ascii="Cambria" w:hAnsi="Cambria" w:eastAsia="ＭＳ 明朝" w:cs=""/>
                <w:kern w:val="0"/>
                <w:sz w:val="22"/>
                <w:szCs w:val="22"/>
                <w:lang w:val="en-US" w:eastAsia="en-US" w:bidi="ar-SA"/>
              </w:rPr>
            </w:pPr>
            <w:r>
              <w:rPr>
                <w:rFonts w:eastAsia="ＭＳ 明朝" w:cs=""/>
                <w:kern w:val="0"/>
                <w:sz w:val="22"/>
                <w:szCs w:val="22"/>
                <w:lang w:val="en-US" w:eastAsia="en-US" w:bidi="ar-SA"/>
              </w:rPr>
              <w:t>34</w:t>
            </w:r>
          </w:p>
        </w:tc>
      </w:tr>
      <w:tr>
        <w:trPr/>
        <w:tc>
          <w:tcPr>
            <w:tcW w:w="4320" w:type="dxa"/>
            <w:tcBorders/>
          </w:tcPr>
          <w:p>
            <w:pPr>
              <w:pStyle w:val="Normal"/>
              <w:widowControl/>
              <w:suppressAutoHyphens w:val="true"/>
              <w:spacing w:lineRule="auto" w:line="240" w:before="0" w:after="0"/>
              <w:jc w:val="left"/>
              <w:rPr>
                <w:rFonts w:ascii="Cambria" w:hAnsi="Cambria" w:eastAsia="ＭＳ 明朝" w:cs=""/>
                <w:kern w:val="0"/>
                <w:sz w:val="22"/>
                <w:szCs w:val="22"/>
                <w:lang w:val="en-US" w:eastAsia="en-US" w:bidi="ar-SA"/>
              </w:rPr>
            </w:pPr>
            <w:r>
              <w:rPr>
                <w:rFonts w:eastAsia="ＭＳ 明朝" w:cs=""/>
                <w:kern w:val="0"/>
                <w:sz w:val="22"/>
                <w:szCs w:val="22"/>
                <w:lang w:val="en-US" w:eastAsia="en-US" w:bidi="ar-SA"/>
              </w:rPr>
              <w:t>Conclusion</w:t>
            </w:r>
          </w:p>
        </w:tc>
        <w:tc>
          <w:tcPr>
            <w:tcW w:w="4319" w:type="dxa"/>
            <w:tcBorders/>
          </w:tcPr>
          <w:p>
            <w:pPr>
              <w:pStyle w:val="Normal"/>
              <w:widowControl/>
              <w:suppressAutoHyphens w:val="true"/>
              <w:spacing w:lineRule="auto" w:line="240" w:before="0" w:after="0"/>
              <w:jc w:val="left"/>
              <w:rPr>
                <w:rFonts w:ascii="Cambria" w:hAnsi="Cambria" w:eastAsia="ＭＳ 明朝" w:cs=""/>
                <w:kern w:val="0"/>
                <w:sz w:val="22"/>
                <w:szCs w:val="22"/>
                <w:lang w:val="en-US" w:eastAsia="en-US" w:bidi="ar-SA"/>
              </w:rPr>
            </w:pPr>
            <w:r>
              <w:rPr>
                <w:rFonts w:eastAsia="ＭＳ 明朝" w:cs=""/>
                <w:kern w:val="0"/>
                <w:sz w:val="22"/>
                <w:szCs w:val="22"/>
                <w:lang w:val="en-US" w:eastAsia="en-US" w:bidi="ar-SA"/>
              </w:rPr>
              <w:t>38</w:t>
            </w:r>
          </w:p>
        </w:tc>
      </w:tr>
      <w:tr>
        <w:trPr/>
        <w:tc>
          <w:tcPr>
            <w:tcW w:w="4320" w:type="dxa"/>
            <w:tcBorders/>
          </w:tcPr>
          <w:p>
            <w:pPr>
              <w:pStyle w:val="Normal"/>
              <w:widowControl/>
              <w:suppressAutoHyphens w:val="true"/>
              <w:spacing w:lineRule="auto" w:line="240" w:before="0" w:after="0"/>
              <w:jc w:val="left"/>
              <w:rPr>
                <w:rFonts w:ascii="Cambria" w:hAnsi="Cambria" w:eastAsia="ＭＳ 明朝" w:cs=""/>
                <w:kern w:val="0"/>
                <w:sz w:val="22"/>
                <w:szCs w:val="22"/>
                <w:lang w:val="en-US" w:eastAsia="en-US" w:bidi="ar-SA"/>
              </w:rPr>
            </w:pPr>
            <w:r>
              <w:rPr>
                <w:rFonts w:eastAsia="ＭＳ 明朝" w:cs=""/>
                <w:kern w:val="0"/>
                <w:sz w:val="22"/>
                <w:szCs w:val="22"/>
                <w:lang w:val="en-US" w:eastAsia="en-US" w:bidi="ar-SA"/>
              </w:rPr>
              <w:t>Appendix – Supporting Visuals</w:t>
            </w:r>
          </w:p>
        </w:tc>
        <w:tc>
          <w:tcPr>
            <w:tcW w:w="4319" w:type="dxa"/>
            <w:tcBorders/>
          </w:tcPr>
          <w:p>
            <w:pPr>
              <w:pStyle w:val="Normal"/>
              <w:widowControl/>
              <w:suppressAutoHyphens w:val="true"/>
              <w:spacing w:lineRule="auto" w:line="240" w:before="0" w:after="0"/>
              <w:jc w:val="left"/>
              <w:rPr>
                <w:rFonts w:ascii="Cambria" w:hAnsi="Cambria" w:eastAsia="ＭＳ 明朝" w:cs=""/>
                <w:kern w:val="0"/>
                <w:sz w:val="22"/>
                <w:szCs w:val="22"/>
                <w:lang w:val="en-US" w:eastAsia="en-US" w:bidi="ar-SA"/>
              </w:rPr>
            </w:pPr>
            <w:r>
              <w:rPr>
                <w:rFonts w:eastAsia="ＭＳ 明朝" w:cs=""/>
                <w:kern w:val="0"/>
                <w:sz w:val="22"/>
                <w:szCs w:val="22"/>
                <w:lang w:val="en-US" w:eastAsia="en-US" w:bidi="ar-SA"/>
              </w:rPr>
              <w:t>40</w:t>
            </w:r>
          </w:p>
        </w:tc>
      </w:tr>
      <w:tr>
        <w:trPr/>
        <w:tc>
          <w:tcPr>
            <w:tcW w:w="4320" w:type="dxa"/>
            <w:tcBorders/>
          </w:tcPr>
          <w:p>
            <w:pPr>
              <w:pStyle w:val="Normal"/>
              <w:widowControl/>
              <w:suppressAutoHyphens w:val="true"/>
              <w:spacing w:lineRule="auto" w:line="240" w:before="0" w:after="0"/>
              <w:jc w:val="left"/>
              <w:rPr>
                <w:rFonts w:ascii="Cambria" w:hAnsi="Cambria" w:eastAsia="ＭＳ 明朝" w:cs=""/>
                <w:kern w:val="0"/>
                <w:sz w:val="22"/>
                <w:szCs w:val="22"/>
                <w:lang w:val="en-US" w:eastAsia="en-US" w:bidi="ar-SA"/>
              </w:rPr>
            </w:pPr>
            <w:r>
              <w:rPr>
                <w:rFonts w:eastAsia="ＭＳ 明朝" w:cs=""/>
                <w:kern w:val="0"/>
                <w:sz w:val="22"/>
                <w:szCs w:val="22"/>
                <w:lang w:val="en-US" w:eastAsia="en-US" w:bidi="ar-SA"/>
              </w:rPr>
              <w:t>Annex Overview</w:t>
            </w:r>
          </w:p>
        </w:tc>
        <w:tc>
          <w:tcPr>
            <w:tcW w:w="4319" w:type="dxa"/>
            <w:tcBorders/>
          </w:tcPr>
          <w:p>
            <w:pPr>
              <w:pStyle w:val="Normal"/>
              <w:widowControl/>
              <w:suppressAutoHyphens w:val="true"/>
              <w:spacing w:lineRule="auto" w:line="240" w:before="0" w:after="0"/>
              <w:jc w:val="left"/>
              <w:rPr>
                <w:rFonts w:ascii="Cambria" w:hAnsi="Cambria" w:eastAsia="ＭＳ 明朝" w:cs=""/>
                <w:kern w:val="0"/>
                <w:sz w:val="22"/>
                <w:szCs w:val="22"/>
                <w:lang w:val="en-US" w:eastAsia="en-US" w:bidi="ar-SA"/>
              </w:rPr>
            </w:pPr>
            <w:r>
              <w:rPr>
                <w:rFonts w:eastAsia="ＭＳ 明朝" w:cs=""/>
                <w:kern w:val="0"/>
                <w:sz w:val="22"/>
                <w:szCs w:val="22"/>
                <w:lang w:val="en-US" w:eastAsia="en-US" w:bidi="ar-SA"/>
              </w:rPr>
              <w:t>41</w:t>
            </w:r>
          </w:p>
        </w:tc>
      </w:tr>
      <w:tr>
        <w:trPr/>
        <w:tc>
          <w:tcPr>
            <w:tcW w:w="4320" w:type="dxa"/>
            <w:tcBorders/>
          </w:tcPr>
          <w:p>
            <w:pPr>
              <w:pStyle w:val="Normal"/>
              <w:widowControl/>
              <w:suppressAutoHyphens w:val="true"/>
              <w:spacing w:lineRule="auto" w:line="240" w:before="0" w:after="0"/>
              <w:jc w:val="left"/>
              <w:rPr>
                <w:rFonts w:ascii="Cambria" w:hAnsi="Cambria" w:eastAsia="ＭＳ 明朝" w:cs=""/>
                <w:kern w:val="0"/>
                <w:sz w:val="22"/>
                <w:szCs w:val="22"/>
                <w:lang w:val="en-US" w:eastAsia="en-US" w:bidi="ar-SA"/>
              </w:rPr>
            </w:pPr>
            <w:r>
              <w:rPr>
                <w:rFonts w:eastAsia="ＭＳ 明朝" w:cs=""/>
                <w:kern w:val="0"/>
                <w:sz w:val="22"/>
                <w:szCs w:val="22"/>
                <w:lang w:val="en-US" w:eastAsia="en-US" w:bidi="ar-SA"/>
              </w:rPr>
              <w:t>Annex A – Financial Tables</w:t>
            </w:r>
          </w:p>
        </w:tc>
        <w:tc>
          <w:tcPr>
            <w:tcW w:w="4319" w:type="dxa"/>
            <w:tcBorders/>
          </w:tcPr>
          <w:p>
            <w:pPr>
              <w:pStyle w:val="Normal"/>
              <w:widowControl/>
              <w:suppressAutoHyphens w:val="true"/>
              <w:spacing w:lineRule="auto" w:line="240" w:before="0" w:after="0"/>
              <w:jc w:val="left"/>
              <w:rPr>
                <w:rFonts w:ascii="Cambria" w:hAnsi="Cambria" w:eastAsia="ＭＳ 明朝" w:cs=""/>
                <w:kern w:val="0"/>
                <w:sz w:val="22"/>
                <w:szCs w:val="22"/>
                <w:lang w:val="en-US" w:eastAsia="en-US" w:bidi="ar-SA"/>
              </w:rPr>
            </w:pPr>
            <w:r>
              <w:rPr>
                <w:rFonts w:eastAsia="ＭＳ 明朝" w:cs=""/>
                <w:kern w:val="0"/>
                <w:sz w:val="22"/>
                <w:szCs w:val="22"/>
                <w:lang w:val="en-US" w:eastAsia="en-US" w:bidi="ar-SA"/>
              </w:rPr>
              <w:t>42</w:t>
            </w:r>
          </w:p>
        </w:tc>
      </w:tr>
      <w:tr>
        <w:trPr/>
        <w:tc>
          <w:tcPr>
            <w:tcW w:w="4320" w:type="dxa"/>
            <w:tcBorders/>
          </w:tcPr>
          <w:p>
            <w:pPr>
              <w:pStyle w:val="Normal"/>
              <w:widowControl/>
              <w:suppressAutoHyphens w:val="true"/>
              <w:spacing w:lineRule="auto" w:line="240" w:before="0" w:after="0"/>
              <w:jc w:val="left"/>
              <w:rPr>
                <w:rFonts w:ascii="Cambria" w:hAnsi="Cambria" w:eastAsia="ＭＳ 明朝" w:cs=""/>
                <w:kern w:val="0"/>
                <w:sz w:val="22"/>
                <w:szCs w:val="22"/>
                <w:lang w:val="en-US" w:eastAsia="en-US" w:bidi="ar-SA"/>
              </w:rPr>
            </w:pPr>
            <w:r>
              <w:rPr>
                <w:rFonts w:eastAsia="ＭＳ 明朝" w:cs=""/>
                <w:kern w:val="0"/>
                <w:sz w:val="22"/>
                <w:szCs w:val="22"/>
                <w:lang w:val="en-US" w:eastAsia="en-US" w:bidi="ar-SA"/>
              </w:rPr>
              <w:t>Annex B – IRR Sensitivity</w:t>
            </w:r>
          </w:p>
        </w:tc>
        <w:tc>
          <w:tcPr>
            <w:tcW w:w="4319" w:type="dxa"/>
            <w:tcBorders/>
          </w:tcPr>
          <w:p>
            <w:pPr>
              <w:pStyle w:val="Normal"/>
              <w:widowControl/>
              <w:suppressAutoHyphens w:val="true"/>
              <w:spacing w:lineRule="auto" w:line="240" w:before="0" w:after="0"/>
              <w:jc w:val="left"/>
              <w:rPr>
                <w:rFonts w:ascii="Cambria" w:hAnsi="Cambria" w:eastAsia="ＭＳ 明朝" w:cs=""/>
                <w:kern w:val="0"/>
                <w:sz w:val="22"/>
                <w:szCs w:val="22"/>
                <w:lang w:val="en-US" w:eastAsia="en-US" w:bidi="ar-SA"/>
              </w:rPr>
            </w:pPr>
            <w:r>
              <w:rPr>
                <w:rFonts w:eastAsia="ＭＳ 明朝" w:cs=""/>
                <w:kern w:val="0"/>
                <w:sz w:val="22"/>
                <w:szCs w:val="22"/>
                <w:lang w:val="en-US" w:eastAsia="en-US" w:bidi="ar-SA"/>
              </w:rPr>
              <w:t>48</w:t>
            </w:r>
          </w:p>
        </w:tc>
      </w:tr>
      <w:tr>
        <w:trPr/>
        <w:tc>
          <w:tcPr>
            <w:tcW w:w="4320" w:type="dxa"/>
            <w:tcBorders/>
          </w:tcPr>
          <w:p>
            <w:pPr>
              <w:pStyle w:val="Normal"/>
              <w:widowControl/>
              <w:suppressAutoHyphens w:val="true"/>
              <w:spacing w:lineRule="auto" w:line="240" w:before="0" w:after="0"/>
              <w:jc w:val="left"/>
              <w:rPr>
                <w:rFonts w:ascii="Cambria" w:hAnsi="Cambria" w:eastAsia="ＭＳ 明朝" w:cs=""/>
                <w:kern w:val="0"/>
                <w:sz w:val="22"/>
                <w:szCs w:val="22"/>
                <w:lang w:val="en-US" w:eastAsia="en-US" w:bidi="ar-SA"/>
              </w:rPr>
            </w:pPr>
            <w:r>
              <w:rPr>
                <w:rFonts w:eastAsia="ＭＳ 明朝" w:cs=""/>
                <w:kern w:val="0"/>
                <w:sz w:val="22"/>
                <w:szCs w:val="22"/>
                <w:lang w:val="en-US" w:eastAsia="en-US" w:bidi="ar-SA"/>
              </w:rPr>
              <w:t>Annex C – ESG &amp; SDG Impact</w:t>
            </w:r>
          </w:p>
        </w:tc>
        <w:tc>
          <w:tcPr>
            <w:tcW w:w="4319" w:type="dxa"/>
            <w:tcBorders/>
          </w:tcPr>
          <w:p>
            <w:pPr>
              <w:pStyle w:val="Normal"/>
              <w:widowControl/>
              <w:suppressAutoHyphens w:val="true"/>
              <w:spacing w:lineRule="auto" w:line="240" w:before="0" w:after="0"/>
              <w:jc w:val="left"/>
              <w:rPr>
                <w:rFonts w:ascii="Cambria" w:hAnsi="Cambria" w:eastAsia="ＭＳ 明朝" w:cs=""/>
                <w:kern w:val="0"/>
                <w:sz w:val="22"/>
                <w:szCs w:val="22"/>
                <w:lang w:val="en-US" w:eastAsia="en-US" w:bidi="ar-SA"/>
              </w:rPr>
            </w:pPr>
            <w:r>
              <w:rPr>
                <w:rFonts w:eastAsia="ＭＳ 明朝" w:cs=""/>
                <w:kern w:val="0"/>
                <w:sz w:val="22"/>
                <w:szCs w:val="22"/>
                <w:lang w:val="en-US" w:eastAsia="en-US" w:bidi="ar-SA"/>
              </w:rPr>
              <w:t>54</w:t>
            </w:r>
          </w:p>
        </w:tc>
      </w:tr>
      <w:tr>
        <w:trPr/>
        <w:tc>
          <w:tcPr>
            <w:tcW w:w="4320" w:type="dxa"/>
            <w:tcBorders/>
          </w:tcPr>
          <w:p>
            <w:pPr>
              <w:pStyle w:val="Normal"/>
              <w:widowControl/>
              <w:suppressAutoHyphens w:val="true"/>
              <w:spacing w:lineRule="auto" w:line="240" w:before="0" w:after="0"/>
              <w:jc w:val="left"/>
              <w:rPr>
                <w:rFonts w:ascii="Cambria" w:hAnsi="Cambria" w:eastAsia="ＭＳ 明朝" w:cs=""/>
                <w:kern w:val="0"/>
                <w:sz w:val="22"/>
                <w:szCs w:val="22"/>
                <w:lang w:val="en-US" w:eastAsia="en-US" w:bidi="ar-SA"/>
              </w:rPr>
            </w:pPr>
            <w:r>
              <w:rPr>
                <w:rFonts w:eastAsia="ＭＳ 明朝" w:cs=""/>
                <w:kern w:val="0"/>
                <w:sz w:val="22"/>
                <w:szCs w:val="22"/>
                <w:lang w:val="en-US" w:eastAsia="en-US" w:bidi="ar-SA"/>
              </w:rPr>
              <w:t>Annex D – Risk Register</w:t>
            </w:r>
          </w:p>
        </w:tc>
        <w:tc>
          <w:tcPr>
            <w:tcW w:w="4319" w:type="dxa"/>
            <w:tcBorders/>
          </w:tcPr>
          <w:p>
            <w:pPr>
              <w:pStyle w:val="Normal"/>
              <w:widowControl/>
              <w:suppressAutoHyphens w:val="true"/>
              <w:spacing w:lineRule="auto" w:line="240" w:before="0" w:after="0"/>
              <w:jc w:val="left"/>
              <w:rPr>
                <w:rFonts w:ascii="Cambria" w:hAnsi="Cambria" w:eastAsia="ＭＳ 明朝" w:cs=""/>
                <w:kern w:val="0"/>
                <w:sz w:val="22"/>
                <w:szCs w:val="22"/>
                <w:lang w:val="en-US" w:eastAsia="en-US" w:bidi="ar-SA"/>
              </w:rPr>
            </w:pPr>
            <w:r>
              <w:rPr>
                <w:rFonts w:eastAsia="ＭＳ 明朝" w:cs=""/>
                <w:kern w:val="0"/>
                <w:sz w:val="22"/>
                <w:szCs w:val="22"/>
                <w:lang w:val="en-US" w:eastAsia="en-US" w:bidi="ar-SA"/>
              </w:rPr>
              <w:t>60</w:t>
            </w:r>
          </w:p>
        </w:tc>
      </w:tr>
      <w:tr>
        <w:trPr/>
        <w:tc>
          <w:tcPr>
            <w:tcW w:w="4320" w:type="dxa"/>
            <w:tcBorders/>
          </w:tcPr>
          <w:p>
            <w:pPr>
              <w:pStyle w:val="Normal"/>
              <w:widowControl/>
              <w:suppressAutoHyphens w:val="true"/>
              <w:spacing w:lineRule="auto" w:line="240" w:before="0" w:after="0"/>
              <w:jc w:val="left"/>
              <w:rPr>
                <w:rFonts w:ascii="Cambria" w:hAnsi="Cambria" w:eastAsia="ＭＳ 明朝" w:cs=""/>
                <w:kern w:val="0"/>
                <w:sz w:val="22"/>
                <w:szCs w:val="22"/>
                <w:lang w:val="en-US" w:eastAsia="en-US" w:bidi="ar-SA"/>
              </w:rPr>
            </w:pPr>
            <w:r>
              <w:rPr>
                <w:rFonts w:eastAsia="ＭＳ 明朝" w:cs=""/>
                <w:kern w:val="0"/>
                <w:sz w:val="22"/>
                <w:szCs w:val="22"/>
                <w:lang w:val="en-US" w:eastAsia="en-US" w:bidi="ar-SA"/>
              </w:rPr>
              <w:t>Annex E – Funding Scenarios</w:t>
            </w:r>
          </w:p>
        </w:tc>
        <w:tc>
          <w:tcPr>
            <w:tcW w:w="4319" w:type="dxa"/>
            <w:tcBorders/>
          </w:tcPr>
          <w:p>
            <w:pPr>
              <w:pStyle w:val="Normal"/>
              <w:widowControl/>
              <w:suppressAutoHyphens w:val="true"/>
              <w:spacing w:lineRule="auto" w:line="240" w:before="0" w:after="0"/>
              <w:jc w:val="left"/>
              <w:rPr>
                <w:rFonts w:ascii="Cambria" w:hAnsi="Cambria" w:eastAsia="ＭＳ 明朝" w:cs=""/>
                <w:kern w:val="0"/>
                <w:sz w:val="22"/>
                <w:szCs w:val="22"/>
                <w:lang w:val="en-US" w:eastAsia="en-US" w:bidi="ar-SA"/>
              </w:rPr>
            </w:pPr>
            <w:r>
              <w:rPr>
                <w:rFonts w:eastAsia="ＭＳ 明朝" w:cs=""/>
                <w:kern w:val="0"/>
                <w:sz w:val="22"/>
                <w:szCs w:val="22"/>
                <w:lang w:val="en-US" w:eastAsia="en-US" w:bidi="ar-SA"/>
              </w:rPr>
              <w:t>66</w:t>
            </w:r>
          </w:p>
        </w:tc>
      </w:tr>
      <w:tr>
        <w:trPr/>
        <w:tc>
          <w:tcPr>
            <w:tcW w:w="4320" w:type="dxa"/>
            <w:tcBorders/>
          </w:tcPr>
          <w:p>
            <w:pPr>
              <w:pStyle w:val="Normal"/>
              <w:widowControl/>
              <w:suppressAutoHyphens w:val="true"/>
              <w:spacing w:lineRule="auto" w:line="240" w:before="0" w:after="0"/>
              <w:jc w:val="left"/>
              <w:rPr>
                <w:rFonts w:ascii="Cambria" w:hAnsi="Cambria" w:eastAsia="ＭＳ 明朝" w:cs=""/>
                <w:kern w:val="0"/>
                <w:sz w:val="22"/>
                <w:szCs w:val="22"/>
                <w:lang w:val="en-US" w:eastAsia="en-US" w:bidi="ar-SA"/>
              </w:rPr>
            </w:pPr>
            <w:r>
              <w:rPr>
                <w:rFonts w:eastAsia="ＭＳ 明朝" w:cs=""/>
                <w:kern w:val="0"/>
                <w:sz w:val="22"/>
                <w:szCs w:val="22"/>
                <w:lang w:val="en-US" w:eastAsia="en-US" w:bidi="ar-SA"/>
              </w:rPr>
              <w:t>Annex F – Dashboard</w:t>
            </w:r>
          </w:p>
        </w:tc>
        <w:tc>
          <w:tcPr>
            <w:tcW w:w="4319" w:type="dxa"/>
            <w:tcBorders/>
          </w:tcPr>
          <w:p>
            <w:pPr>
              <w:pStyle w:val="Normal"/>
              <w:widowControl/>
              <w:suppressAutoHyphens w:val="true"/>
              <w:spacing w:lineRule="auto" w:line="240" w:before="0" w:after="0"/>
              <w:jc w:val="left"/>
              <w:rPr>
                <w:rFonts w:ascii="Cambria" w:hAnsi="Cambria" w:eastAsia="ＭＳ 明朝" w:cs=""/>
                <w:kern w:val="0"/>
                <w:sz w:val="22"/>
                <w:szCs w:val="22"/>
                <w:lang w:val="en-US" w:eastAsia="en-US" w:bidi="ar-SA"/>
              </w:rPr>
            </w:pPr>
            <w:r>
              <w:rPr>
                <w:rFonts w:eastAsia="ＭＳ 明朝" w:cs=""/>
                <w:kern w:val="0"/>
                <w:sz w:val="22"/>
                <w:szCs w:val="22"/>
                <w:lang w:val="en-US" w:eastAsia="en-US" w:bidi="ar-SA"/>
              </w:rPr>
              <w:t>72</w:t>
            </w:r>
          </w:p>
        </w:tc>
      </w:tr>
      <w:tr>
        <w:trPr/>
        <w:tc>
          <w:tcPr>
            <w:tcW w:w="4320" w:type="dxa"/>
            <w:tcBorders/>
          </w:tcPr>
          <w:p>
            <w:pPr>
              <w:pStyle w:val="Normal"/>
              <w:widowControl/>
              <w:suppressAutoHyphens w:val="true"/>
              <w:spacing w:lineRule="auto" w:line="240" w:before="0" w:after="0"/>
              <w:jc w:val="left"/>
              <w:rPr>
                <w:rFonts w:ascii="Cambria" w:hAnsi="Cambria" w:eastAsia="ＭＳ 明朝" w:cs=""/>
                <w:kern w:val="0"/>
                <w:sz w:val="22"/>
                <w:szCs w:val="22"/>
                <w:lang w:val="en-US" w:eastAsia="en-US" w:bidi="ar-SA"/>
              </w:rPr>
            </w:pPr>
            <w:r>
              <w:rPr>
                <w:rFonts w:eastAsia="ＭＳ 明朝" w:cs=""/>
                <w:kern w:val="0"/>
                <w:sz w:val="22"/>
                <w:szCs w:val="22"/>
                <w:lang w:val="en-US" w:eastAsia="en-US" w:bidi="ar-SA"/>
              </w:rPr>
              <w:t>Annex G – ESG At One Glance</w:t>
            </w:r>
          </w:p>
        </w:tc>
        <w:tc>
          <w:tcPr>
            <w:tcW w:w="4319" w:type="dxa"/>
            <w:tcBorders/>
          </w:tcPr>
          <w:p>
            <w:pPr>
              <w:pStyle w:val="Normal"/>
              <w:widowControl/>
              <w:suppressAutoHyphens w:val="true"/>
              <w:spacing w:lineRule="auto" w:line="240" w:before="0" w:after="0"/>
              <w:jc w:val="left"/>
              <w:rPr>
                <w:rFonts w:ascii="Cambria" w:hAnsi="Cambria" w:eastAsia="ＭＳ 明朝" w:cs=""/>
                <w:kern w:val="0"/>
                <w:sz w:val="22"/>
                <w:szCs w:val="22"/>
                <w:lang w:val="en-US" w:eastAsia="en-US" w:bidi="ar-SA"/>
              </w:rPr>
            </w:pPr>
            <w:r>
              <w:rPr>
                <w:rFonts w:eastAsia="ＭＳ 明朝" w:cs=""/>
                <w:kern w:val="0"/>
                <w:sz w:val="22"/>
                <w:szCs w:val="22"/>
                <w:lang w:val="en-US" w:eastAsia="en-US" w:bidi="ar-SA"/>
              </w:rPr>
              <w:t>78</w:t>
            </w:r>
          </w:p>
        </w:tc>
      </w:tr>
      <w:tr>
        <w:trPr/>
        <w:tc>
          <w:tcPr>
            <w:tcW w:w="4320" w:type="dxa"/>
            <w:tcBorders/>
          </w:tcPr>
          <w:p>
            <w:pPr>
              <w:pStyle w:val="Normal"/>
              <w:widowControl/>
              <w:suppressAutoHyphens w:val="true"/>
              <w:spacing w:lineRule="auto" w:line="240" w:before="0" w:after="0"/>
              <w:jc w:val="left"/>
              <w:rPr>
                <w:rFonts w:ascii="Cambria" w:hAnsi="Cambria" w:eastAsia="ＭＳ 明朝" w:cs=""/>
                <w:kern w:val="0"/>
                <w:sz w:val="22"/>
                <w:szCs w:val="22"/>
                <w:lang w:val="en-US" w:eastAsia="en-US" w:bidi="ar-SA"/>
              </w:rPr>
            </w:pPr>
            <w:r>
              <w:rPr>
                <w:rFonts w:eastAsia="ＭＳ 明朝" w:cs=""/>
                <w:kern w:val="0"/>
                <w:sz w:val="22"/>
                <w:szCs w:val="22"/>
                <w:lang w:val="en-US" w:eastAsia="en-US" w:bidi="ar-SA"/>
              </w:rPr>
              <w:t>Annex H – Version Journey Timeline</w:t>
            </w:r>
          </w:p>
        </w:tc>
        <w:tc>
          <w:tcPr>
            <w:tcW w:w="4319" w:type="dxa"/>
            <w:tcBorders/>
          </w:tcPr>
          <w:p>
            <w:pPr>
              <w:pStyle w:val="Normal"/>
              <w:widowControl/>
              <w:suppressAutoHyphens w:val="true"/>
              <w:spacing w:lineRule="auto" w:line="240" w:before="0" w:after="0"/>
              <w:jc w:val="left"/>
              <w:rPr>
                <w:rFonts w:ascii="Cambria" w:hAnsi="Cambria" w:eastAsia="ＭＳ 明朝" w:cs=""/>
                <w:kern w:val="0"/>
                <w:sz w:val="22"/>
                <w:szCs w:val="22"/>
                <w:lang w:val="en-US" w:eastAsia="en-US" w:bidi="ar-SA"/>
              </w:rPr>
            </w:pPr>
            <w:r>
              <w:rPr>
                <w:rFonts w:eastAsia="ＭＳ 明朝" w:cs=""/>
                <w:kern w:val="0"/>
                <w:sz w:val="22"/>
                <w:szCs w:val="22"/>
                <w:lang w:val="en-US" w:eastAsia="en-US" w:bidi="ar-SA"/>
              </w:rPr>
              <w:t>84</w:t>
            </w:r>
          </w:p>
        </w:tc>
      </w:tr>
      <w:tr>
        <w:trPr/>
        <w:tc>
          <w:tcPr>
            <w:tcW w:w="4320" w:type="dxa"/>
            <w:tcBorders/>
          </w:tcPr>
          <w:p>
            <w:pPr>
              <w:pStyle w:val="Normal"/>
              <w:widowControl/>
              <w:suppressAutoHyphens w:val="true"/>
              <w:spacing w:lineRule="auto" w:line="240" w:before="0" w:after="0"/>
              <w:jc w:val="left"/>
              <w:rPr>
                <w:rFonts w:ascii="Cambria" w:hAnsi="Cambria" w:eastAsia="ＭＳ 明朝" w:cs=""/>
                <w:kern w:val="0"/>
                <w:sz w:val="22"/>
                <w:szCs w:val="22"/>
                <w:lang w:val="en-US" w:eastAsia="en-US" w:bidi="ar-SA"/>
              </w:rPr>
            </w:pPr>
            <w:r>
              <w:rPr>
                <w:rFonts w:eastAsia="ＭＳ 明朝" w:cs=""/>
                <w:kern w:val="0"/>
                <w:sz w:val="22"/>
                <w:szCs w:val="22"/>
                <w:lang w:val="en-US" w:eastAsia="en-US" w:bidi="ar-SA"/>
              </w:rPr>
              <w:t>Changelog (second placement)</w:t>
            </w:r>
          </w:p>
        </w:tc>
        <w:tc>
          <w:tcPr>
            <w:tcW w:w="4319" w:type="dxa"/>
            <w:tcBorders/>
          </w:tcPr>
          <w:p>
            <w:pPr>
              <w:pStyle w:val="Normal"/>
              <w:widowControl/>
              <w:suppressAutoHyphens w:val="true"/>
              <w:spacing w:lineRule="auto" w:line="240" w:before="0" w:after="0"/>
              <w:jc w:val="left"/>
              <w:rPr>
                <w:rFonts w:ascii="Cambria" w:hAnsi="Cambria" w:eastAsia="ＭＳ 明朝" w:cs=""/>
                <w:kern w:val="0"/>
                <w:sz w:val="22"/>
                <w:szCs w:val="22"/>
                <w:lang w:val="en-US" w:eastAsia="en-US" w:bidi="ar-SA"/>
              </w:rPr>
            </w:pPr>
            <w:r>
              <w:rPr>
                <w:rFonts w:eastAsia="ＭＳ 明朝" w:cs=""/>
                <w:kern w:val="0"/>
                <w:sz w:val="22"/>
                <w:szCs w:val="22"/>
                <w:lang w:val="en-US" w:eastAsia="en-US" w:bidi="ar-SA"/>
              </w:rPr>
              <w:t>90</w:t>
            </w:r>
          </w:p>
        </w:tc>
      </w:tr>
      <w:tr>
        <w:trPr/>
        <w:tc>
          <w:tcPr>
            <w:tcW w:w="4320" w:type="dxa"/>
            <w:tcBorders/>
          </w:tcPr>
          <w:p>
            <w:pPr>
              <w:pStyle w:val="Normal"/>
              <w:widowControl/>
              <w:suppressAutoHyphens w:val="true"/>
              <w:spacing w:lineRule="auto" w:line="240" w:before="0" w:after="0"/>
              <w:jc w:val="left"/>
              <w:rPr>
                <w:rFonts w:ascii="Cambria" w:hAnsi="Cambria" w:eastAsia="ＭＳ 明朝" w:cs=""/>
                <w:kern w:val="0"/>
                <w:sz w:val="22"/>
                <w:szCs w:val="22"/>
                <w:lang w:val="en-US" w:eastAsia="en-US" w:bidi="ar-SA"/>
              </w:rPr>
            </w:pPr>
            <w:r>
              <w:rPr>
                <w:rFonts w:eastAsia="ＭＳ 明朝" w:cs=""/>
                <w:kern w:val="0"/>
                <w:sz w:val="22"/>
                <w:szCs w:val="22"/>
                <w:lang w:val="en-US" w:eastAsia="en-US" w:bidi="ar-SA"/>
              </w:rPr>
              <w:t>Confidentiality Annex – NDA</w:t>
            </w:r>
          </w:p>
        </w:tc>
        <w:tc>
          <w:tcPr>
            <w:tcW w:w="4319" w:type="dxa"/>
            <w:tcBorders/>
          </w:tcPr>
          <w:p>
            <w:pPr>
              <w:pStyle w:val="Normal"/>
              <w:widowControl/>
              <w:suppressAutoHyphens w:val="true"/>
              <w:spacing w:lineRule="auto" w:line="240" w:before="0" w:after="0"/>
              <w:jc w:val="left"/>
              <w:rPr>
                <w:rFonts w:ascii="Cambria" w:hAnsi="Cambria" w:eastAsia="ＭＳ 明朝" w:cs=""/>
                <w:kern w:val="0"/>
                <w:sz w:val="22"/>
                <w:szCs w:val="22"/>
                <w:lang w:val="en-US" w:eastAsia="en-US" w:bidi="ar-SA"/>
              </w:rPr>
            </w:pPr>
            <w:r>
              <w:rPr>
                <w:rFonts w:eastAsia="ＭＳ 明朝" w:cs=""/>
                <w:kern w:val="0"/>
                <w:sz w:val="22"/>
                <w:szCs w:val="22"/>
                <w:lang w:val="en-US" w:eastAsia="en-US" w:bidi="ar-SA"/>
              </w:rPr>
              <w:t>92</w:t>
            </w:r>
          </w:p>
        </w:tc>
      </w:tr>
    </w:tbl>
    <w:p>
      <w:pPr>
        <w:pStyle w:val="Normal"/>
        <w:rPr/>
      </w:pPr>
      <w:r>
        <w:rPr>
          <w:i/>
        </w:rPr>
        <w:t>Note: Front matter uses Roman numerals (i, ii). Main body, annexes, and NDA use Arabic numerals (1, 2, 3…).</w:t>
      </w:r>
    </w:p>
    <w:p>
      <w:pPr>
        <w:pStyle w:val="Normal"/>
        <w:rPr/>
      </w:pPr>
      <w:r>
        <w:rPr/>
      </w:r>
      <w:r>
        <w:br w:type="page"/>
      </w:r>
    </w:p>
    <w:p>
      <w:pPr>
        <w:pStyle w:val="Heading1"/>
        <w:spacing w:before="0" w:after="0"/>
        <w:rPr/>
      </w:pPr>
      <w:r>
        <w:rPr/>
        <w:t>Changelog – Terra Vita MasterPlan</w:t>
      </w:r>
    </w:p>
    <w:tbl>
      <w:tblPr>
        <w:tblStyle w:val="TableGrid"/>
        <w:tblW w:w="8640" w:type="dxa"/>
        <w:jc w:val="left"/>
        <w:tblInd w:w="0" w:type="dxa"/>
        <w:tblLayout w:type="fixed"/>
        <w:tblCellMar>
          <w:top w:w="0" w:type="dxa"/>
          <w:left w:w="108" w:type="dxa"/>
          <w:bottom w:w="0" w:type="dxa"/>
          <w:right w:w="108" w:type="dxa"/>
        </w:tblCellMar>
        <w:tblLook w:firstRow="1" w:noVBand="1" w:lastRow="0" w:firstColumn="1" w:lastColumn="0" w:noHBand="0" w:val="04a0"/>
      </w:tblPr>
      <w:tblGrid>
        <w:gridCol w:w="2160"/>
        <w:gridCol w:w="2160"/>
        <w:gridCol w:w="2160"/>
        <w:gridCol w:w="2159"/>
      </w:tblGrid>
      <w:tr>
        <w:trPr/>
        <w:tc>
          <w:tcPr>
            <w:tcW w:w="2160" w:type="dxa"/>
            <w:tcBorders/>
          </w:tcPr>
          <w:p>
            <w:pPr>
              <w:pStyle w:val="Normal"/>
              <w:widowControl/>
              <w:suppressAutoHyphens w:val="true"/>
              <w:spacing w:lineRule="auto" w:line="240" w:before="0" w:after="0"/>
              <w:jc w:val="left"/>
              <w:rPr>
                <w:rFonts w:ascii="Cambria" w:hAnsi="Cambria" w:eastAsia="ＭＳ 明朝" w:cs=""/>
                <w:kern w:val="0"/>
                <w:sz w:val="22"/>
                <w:szCs w:val="22"/>
                <w:lang w:val="en-US" w:eastAsia="en-US" w:bidi="ar-SA"/>
              </w:rPr>
            </w:pPr>
            <w:r>
              <w:rPr>
                <w:rFonts w:eastAsia="ＭＳ 明朝" w:cs=""/>
                <w:kern w:val="0"/>
                <w:sz w:val="22"/>
                <w:szCs w:val="22"/>
                <w:lang w:val="en-US" w:eastAsia="en-US" w:bidi="ar-SA"/>
              </w:rPr>
              <w:t>Version</w:t>
            </w:r>
          </w:p>
        </w:tc>
        <w:tc>
          <w:tcPr>
            <w:tcW w:w="2160" w:type="dxa"/>
            <w:tcBorders/>
          </w:tcPr>
          <w:p>
            <w:pPr>
              <w:pStyle w:val="Normal"/>
              <w:widowControl/>
              <w:suppressAutoHyphens w:val="true"/>
              <w:spacing w:lineRule="auto" w:line="240" w:before="0" w:after="0"/>
              <w:jc w:val="left"/>
              <w:rPr>
                <w:rFonts w:ascii="Cambria" w:hAnsi="Cambria" w:eastAsia="ＭＳ 明朝" w:cs=""/>
                <w:kern w:val="0"/>
                <w:sz w:val="22"/>
                <w:szCs w:val="22"/>
                <w:lang w:val="en-US" w:eastAsia="en-US" w:bidi="ar-SA"/>
              </w:rPr>
            </w:pPr>
            <w:r>
              <w:rPr>
                <w:rFonts w:eastAsia="ＭＳ 明朝" w:cs=""/>
                <w:kern w:val="0"/>
                <w:sz w:val="22"/>
                <w:szCs w:val="22"/>
                <w:lang w:val="en-US" w:eastAsia="en-US" w:bidi="ar-SA"/>
              </w:rPr>
              <w:t>Date</w:t>
            </w:r>
          </w:p>
        </w:tc>
        <w:tc>
          <w:tcPr>
            <w:tcW w:w="2160" w:type="dxa"/>
            <w:tcBorders/>
          </w:tcPr>
          <w:p>
            <w:pPr>
              <w:pStyle w:val="Normal"/>
              <w:widowControl/>
              <w:suppressAutoHyphens w:val="true"/>
              <w:spacing w:lineRule="auto" w:line="240" w:before="0" w:after="0"/>
              <w:jc w:val="left"/>
              <w:rPr>
                <w:rFonts w:ascii="Cambria" w:hAnsi="Cambria" w:eastAsia="ＭＳ 明朝" w:cs=""/>
                <w:kern w:val="0"/>
                <w:sz w:val="22"/>
                <w:szCs w:val="22"/>
                <w:lang w:val="en-US" w:eastAsia="en-US" w:bidi="ar-SA"/>
              </w:rPr>
            </w:pPr>
            <w:r>
              <w:rPr>
                <w:rFonts w:eastAsia="ＭＳ 明朝" w:cs=""/>
                <w:kern w:val="0"/>
                <w:sz w:val="22"/>
                <w:szCs w:val="22"/>
                <w:lang w:val="en-US" w:eastAsia="en-US" w:bidi="ar-SA"/>
              </w:rPr>
              <w:t>Author(s)</w:t>
            </w:r>
          </w:p>
        </w:tc>
        <w:tc>
          <w:tcPr>
            <w:tcW w:w="2159" w:type="dxa"/>
            <w:tcBorders/>
          </w:tcPr>
          <w:p>
            <w:pPr>
              <w:pStyle w:val="Normal"/>
              <w:widowControl/>
              <w:suppressAutoHyphens w:val="true"/>
              <w:spacing w:lineRule="auto" w:line="240" w:before="0" w:after="0"/>
              <w:jc w:val="left"/>
              <w:rPr>
                <w:rFonts w:ascii="Cambria" w:hAnsi="Cambria" w:eastAsia="ＭＳ 明朝" w:cs=""/>
                <w:kern w:val="0"/>
                <w:sz w:val="22"/>
                <w:szCs w:val="22"/>
                <w:lang w:val="en-US" w:eastAsia="en-US" w:bidi="ar-SA"/>
              </w:rPr>
            </w:pPr>
            <w:r>
              <w:rPr>
                <w:rFonts w:eastAsia="ＭＳ 明朝" w:cs=""/>
                <w:kern w:val="0"/>
                <w:sz w:val="22"/>
                <w:szCs w:val="22"/>
                <w:lang w:val="en-US" w:eastAsia="en-US" w:bidi="ar-SA"/>
              </w:rPr>
              <w:t>Key Changes</w:t>
            </w:r>
          </w:p>
        </w:tc>
      </w:tr>
      <w:tr>
        <w:trPr/>
        <w:tc>
          <w:tcPr>
            <w:tcW w:w="2160" w:type="dxa"/>
            <w:tcBorders/>
          </w:tcPr>
          <w:p>
            <w:pPr>
              <w:pStyle w:val="Normal"/>
              <w:widowControl/>
              <w:suppressAutoHyphens w:val="true"/>
              <w:spacing w:lineRule="auto" w:line="240" w:before="0" w:after="0"/>
              <w:jc w:val="left"/>
              <w:rPr>
                <w:rFonts w:ascii="Cambria" w:hAnsi="Cambria" w:eastAsia="ＭＳ 明朝" w:cs=""/>
                <w:kern w:val="0"/>
                <w:sz w:val="22"/>
                <w:szCs w:val="22"/>
                <w:lang w:val="en-US" w:eastAsia="en-US" w:bidi="ar-SA"/>
              </w:rPr>
            </w:pPr>
            <w:r>
              <w:rPr>
                <w:rFonts w:eastAsia="ＭＳ 明朝" w:cs=""/>
                <w:kern w:val="0"/>
                <w:sz w:val="22"/>
                <w:szCs w:val="22"/>
                <w:lang w:val="en-US" w:eastAsia="en-US" w:bidi="ar-SA"/>
              </w:rPr>
              <w:t>v30.2</w:t>
            </w:r>
          </w:p>
        </w:tc>
        <w:tc>
          <w:tcPr>
            <w:tcW w:w="2160" w:type="dxa"/>
            <w:tcBorders/>
          </w:tcPr>
          <w:p>
            <w:pPr>
              <w:pStyle w:val="Normal"/>
              <w:widowControl/>
              <w:suppressAutoHyphens w:val="true"/>
              <w:spacing w:lineRule="auto" w:line="240" w:before="0" w:after="0"/>
              <w:jc w:val="left"/>
              <w:rPr>
                <w:rFonts w:ascii="Cambria" w:hAnsi="Cambria" w:eastAsia="ＭＳ 明朝" w:cs=""/>
                <w:kern w:val="0"/>
                <w:sz w:val="22"/>
                <w:szCs w:val="22"/>
                <w:lang w:val="en-US" w:eastAsia="en-US" w:bidi="ar-SA"/>
              </w:rPr>
            </w:pPr>
            <w:r>
              <w:rPr>
                <w:rFonts w:eastAsia="ＭＳ 明朝" w:cs=""/>
                <w:kern w:val="0"/>
                <w:sz w:val="22"/>
                <w:szCs w:val="22"/>
                <w:lang w:val="en-US" w:eastAsia="en-US" w:bidi="ar-SA"/>
              </w:rPr>
              <w:t>Sep 2025</w:t>
            </w:r>
          </w:p>
        </w:tc>
        <w:tc>
          <w:tcPr>
            <w:tcW w:w="2160" w:type="dxa"/>
            <w:tcBorders/>
          </w:tcPr>
          <w:p>
            <w:pPr>
              <w:pStyle w:val="Normal"/>
              <w:widowControl/>
              <w:suppressAutoHyphens w:val="true"/>
              <w:spacing w:lineRule="auto" w:line="240" w:before="0" w:after="0"/>
              <w:jc w:val="left"/>
              <w:rPr>
                <w:rFonts w:ascii="Cambria" w:hAnsi="Cambria" w:eastAsia="ＭＳ 明朝" w:cs=""/>
                <w:kern w:val="0"/>
                <w:sz w:val="22"/>
                <w:szCs w:val="22"/>
                <w:lang w:val="en-US" w:eastAsia="en-US" w:bidi="ar-SA"/>
              </w:rPr>
            </w:pPr>
            <w:r>
              <w:rPr>
                <w:rFonts w:eastAsia="ＭＳ 明朝" w:cs=""/>
                <w:kern w:val="0"/>
                <w:sz w:val="22"/>
                <w:szCs w:val="22"/>
                <w:lang w:val="en-US" w:eastAsia="en-US" w:bidi="ar-SA"/>
              </w:rPr>
              <w:t>Theresa Van Der Walt, Yuri van de Wal</w:t>
            </w:r>
          </w:p>
        </w:tc>
        <w:tc>
          <w:tcPr>
            <w:tcW w:w="2159" w:type="dxa"/>
            <w:tcBorders/>
          </w:tcPr>
          <w:p>
            <w:pPr>
              <w:pStyle w:val="Normal"/>
              <w:widowControl/>
              <w:suppressAutoHyphens w:val="true"/>
              <w:spacing w:lineRule="auto" w:line="240" w:before="0" w:after="0"/>
              <w:jc w:val="left"/>
              <w:rPr>
                <w:rFonts w:ascii="Cambria" w:hAnsi="Cambria" w:eastAsia="ＭＳ 明朝" w:cs=""/>
                <w:kern w:val="0"/>
                <w:sz w:val="22"/>
                <w:szCs w:val="22"/>
                <w:lang w:val="en-US" w:eastAsia="en-US" w:bidi="ar-SA"/>
              </w:rPr>
            </w:pPr>
            <w:r>
              <w:rPr>
                <w:rFonts w:eastAsia="ＭＳ 明朝" w:cs=""/>
                <w:kern w:val="0"/>
                <w:sz w:val="22"/>
                <w:szCs w:val="22"/>
                <w:lang w:val="en-US" w:eastAsia="en-US" w:bidi="ar-SA"/>
              </w:rPr>
              <w:t>Integrated Golden Triangle visuals, ESG Impact Metrics, Funding Snapshots.</w:t>
            </w:r>
          </w:p>
        </w:tc>
      </w:tr>
      <w:tr>
        <w:trPr/>
        <w:tc>
          <w:tcPr>
            <w:tcW w:w="2160" w:type="dxa"/>
            <w:tcBorders/>
          </w:tcPr>
          <w:p>
            <w:pPr>
              <w:pStyle w:val="Normal"/>
              <w:widowControl/>
              <w:suppressAutoHyphens w:val="true"/>
              <w:spacing w:lineRule="auto" w:line="240" w:before="0" w:after="0"/>
              <w:jc w:val="left"/>
              <w:rPr>
                <w:rFonts w:ascii="Cambria" w:hAnsi="Cambria" w:eastAsia="ＭＳ 明朝" w:cs=""/>
                <w:kern w:val="0"/>
                <w:sz w:val="22"/>
                <w:szCs w:val="22"/>
                <w:lang w:val="en-US" w:eastAsia="en-US" w:bidi="ar-SA"/>
              </w:rPr>
            </w:pPr>
            <w:r>
              <w:rPr>
                <w:rFonts w:eastAsia="ＭＳ 明朝" w:cs=""/>
                <w:kern w:val="0"/>
                <w:sz w:val="22"/>
                <w:szCs w:val="22"/>
                <w:lang w:val="en-US" w:eastAsia="en-US" w:bidi="ar-SA"/>
              </w:rPr>
              <w:t>v30.3</w:t>
            </w:r>
          </w:p>
        </w:tc>
        <w:tc>
          <w:tcPr>
            <w:tcW w:w="2160" w:type="dxa"/>
            <w:tcBorders/>
          </w:tcPr>
          <w:p>
            <w:pPr>
              <w:pStyle w:val="Normal"/>
              <w:widowControl/>
              <w:suppressAutoHyphens w:val="true"/>
              <w:spacing w:lineRule="auto" w:line="240" w:before="0" w:after="0"/>
              <w:jc w:val="left"/>
              <w:rPr>
                <w:rFonts w:ascii="Cambria" w:hAnsi="Cambria" w:eastAsia="ＭＳ 明朝" w:cs=""/>
                <w:kern w:val="0"/>
                <w:sz w:val="22"/>
                <w:szCs w:val="22"/>
                <w:lang w:val="en-US" w:eastAsia="en-US" w:bidi="ar-SA"/>
              </w:rPr>
            </w:pPr>
            <w:r>
              <w:rPr>
                <w:rFonts w:eastAsia="ＭＳ 明朝" w:cs=""/>
                <w:kern w:val="0"/>
                <w:sz w:val="22"/>
                <w:szCs w:val="22"/>
                <w:lang w:val="en-US" w:eastAsia="en-US" w:bidi="ar-SA"/>
              </w:rPr>
              <w:t>Oct 2025</w:t>
            </w:r>
          </w:p>
        </w:tc>
        <w:tc>
          <w:tcPr>
            <w:tcW w:w="2160" w:type="dxa"/>
            <w:tcBorders/>
          </w:tcPr>
          <w:p>
            <w:pPr>
              <w:pStyle w:val="Normal"/>
              <w:widowControl/>
              <w:suppressAutoHyphens w:val="true"/>
              <w:spacing w:lineRule="auto" w:line="240" w:before="0" w:after="0"/>
              <w:jc w:val="left"/>
              <w:rPr>
                <w:rFonts w:ascii="Cambria" w:hAnsi="Cambria" w:eastAsia="ＭＳ 明朝" w:cs=""/>
                <w:kern w:val="0"/>
                <w:sz w:val="22"/>
                <w:szCs w:val="22"/>
                <w:lang w:val="en-US" w:eastAsia="en-US" w:bidi="ar-SA"/>
              </w:rPr>
            </w:pPr>
            <w:r>
              <w:rPr>
                <w:rFonts w:eastAsia="ＭＳ 明朝" w:cs=""/>
                <w:kern w:val="0"/>
                <w:sz w:val="22"/>
                <w:szCs w:val="22"/>
                <w:lang w:val="en-US" w:eastAsia="en-US" w:bidi="ar-SA"/>
              </w:rPr>
              <w:t>Theresa Van Der Walt, Yuri van de Wal</w:t>
            </w:r>
          </w:p>
        </w:tc>
        <w:tc>
          <w:tcPr>
            <w:tcW w:w="2159" w:type="dxa"/>
            <w:tcBorders/>
          </w:tcPr>
          <w:p>
            <w:pPr>
              <w:pStyle w:val="Normal"/>
              <w:widowControl/>
              <w:suppressAutoHyphens w:val="true"/>
              <w:spacing w:lineRule="auto" w:line="240" w:before="0" w:after="0"/>
              <w:jc w:val="left"/>
              <w:rPr>
                <w:rFonts w:ascii="Cambria" w:hAnsi="Cambria" w:eastAsia="ＭＳ 明朝" w:cs=""/>
                <w:kern w:val="0"/>
                <w:sz w:val="22"/>
                <w:szCs w:val="22"/>
                <w:lang w:val="en-US" w:eastAsia="en-US" w:bidi="ar-SA"/>
              </w:rPr>
            </w:pPr>
            <w:r>
              <w:rPr>
                <w:rFonts w:eastAsia="ＭＳ 明朝" w:cs=""/>
                <w:kern w:val="0"/>
                <w:sz w:val="22"/>
                <w:szCs w:val="22"/>
                <w:lang w:val="en-US" w:eastAsia="en-US" w:bidi="ar-SA"/>
              </w:rPr>
              <w:t>Added Annexes A–H, NDA, branding (logo, cover page), confidentiality footer.</w:t>
            </w:r>
          </w:p>
        </w:tc>
      </w:tr>
      <w:tr>
        <w:trPr/>
        <w:tc>
          <w:tcPr>
            <w:tcW w:w="2160" w:type="dxa"/>
            <w:tcBorders/>
          </w:tcPr>
          <w:p>
            <w:pPr>
              <w:pStyle w:val="Normal"/>
              <w:widowControl/>
              <w:suppressAutoHyphens w:val="true"/>
              <w:spacing w:lineRule="auto" w:line="240" w:before="0" w:after="0"/>
              <w:jc w:val="left"/>
              <w:rPr>
                <w:rFonts w:ascii="Cambria" w:hAnsi="Cambria" w:eastAsia="ＭＳ 明朝" w:cs=""/>
                <w:kern w:val="0"/>
                <w:sz w:val="22"/>
                <w:szCs w:val="22"/>
                <w:lang w:val="en-US" w:eastAsia="en-US" w:bidi="ar-SA"/>
              </w:rPr>
            </w:pPr>
            <w:r>
              <w:rPr>
                <w:rFonts w:eastAsia="ＭＳ 明朝" w:cs=""/>
                <w:kern w:val="0"/>
                <w:sz w:val="22"/>
                <w:szCs w:val="22"/>
                <w:lang w:val="en-US" w:eastAsia="en-US" w:bidi="ar-SA"/>
              </w:rPr>
              <w:t>v30.4</w:t>
            </w:r>
          </w:p>
        </w:tc>
        <w:tc>
          <w:tcPr>
            <w:tcW w:w="2160" w:type="dxa"/>
            <w:tcBorders/>
          </w:tcPr>
          <w:p>
            <w:pPr>
              <w:pStyle w:val="Normal"/>
              <w:widowControl/>
              <w:suppressAutoHyphens w:val="true"/>
              <w:spacing w:lineRule="auto" w:line="240" w:before="0" w:after="0"/>
              <w:jc w:val="left"/>
              <w:rPr>
                <w:rFonts w:ascii="Cambria" w:hAnsi="Cambria" w:eastAsia="ＭＳ 明朝" w:cs=""/>
                <w:kern w:val="0"/>
                <w:sz w:val="22"/>
                <w:szCs w:val="22"/>
                <w:lang w:val="en-US" w:eastAsia="en-US" w:bidi="ar-SA"/>
              </w:rPr>
            </w:pPr>
            <w:r>
              <w:rPr>
                <w:rFonts w:eastAsia="ＭＳ 明朝" w:cs=""/>
                <w:kern w:val="0"/>
                <w:sz w:val="22"/>
                <w:szCs w:val="22"/>
                <w:lang w:val="en-US" w:eastAsia="en-US" w:bidi="ar-SA"/>
              </w:rPr>
              <w:t>Oct 2025</w:t>
            </w:r>
          </w:p>
        </w:tc>
        <w:tc>
          <w:tcPr>
            <w:tcW w:w="2160" w:type="dxa"/>
            <w:tcBorders/>
          </w:tcPr>
          <w:p>
            <w:pPr>
              <w:pStyle w:val="Normal"/>
              <w:widowControl/>
              <w:suppressAutoHyphens w:val="true"/>
              <w:spacing w:lineRule="auto" w:line="240" w:before="0" w:after="0"/>
              <w:jc w:val="left"/>
              <w:rPr>
                <w:rFonts w:ascii="Cambria" w:hAnsi="Cambria" w:eastAsia="ＭＳ 明朝" w:cs=""/>
                <w:kern w:val="0"/>
                <w:sz w:val="22"/>
                <w:szCs w:val="22"/>
                <w:lang w:val="en-US" w:eastAsia="en-US" w:bidi="ar-SA"/>
              </w:rPr>
            </w:pPr>
            <w:r>
              <w:rPr>
                <w:rFonts w:eastAsia="ＭＳ 明朝" w:cs=""/>
                <w:kern w:val="0"/>
                <w:sz w:val="22"/>
                <w:szCs w:val="22"/>
                <w:lang w:val="en-US" w:eastAsia="en-US" w:bidi="ar-SA"/>
              </w:rPr>
              <w:t>Theresa Van Der Walt, Yuri van de Wal</w:t>
            </w:r>
          </w:p>
        </w:tc>
        <w:tc>
          <w:tcPr>
            <w:tcW w:w="2159" w:type="dxa"/>
            <w:tcBorders/>
          </w:tcPr>
          <w:p>
            <w:pPr>
              <w:pStyle w:val="Normal"/>
              <w:widowControl/>
              <w:suppressAutoHyphens w:val="true"/>
              <w:spacing w:lineRule="auto" w:line="240" w:before="0" w:after="0"/>
              <w:jc w:val="left"/>
              <w:rPr>
                <w:rFonts w:ascii="Cambria" w:hAnsi="Cambria" w:eastAsia="ＭＳ 明朝" w:cs=""/>
                <w:kern w:val="0"/>
                <w:sz w:val="22"/>
                <w:szCs w:val="22"/>
                <w:lang w:val="en-US" w:eastAsia="en-US" w:bidi="ar-SA"/>
              </w:rPr>
            </w:pPr>
            <w:r>
              <w:rPr>
                <w:rFonts w:eastAsia="ＭＳ 明朝" w:cs=""/>
                <w:kern w:val="0"/>
                <w:sz w:val="22"/>
                <w:szCs w:val="22"/>
                <w:lang w:val="en-US" w:eastAsia="en-US" w:bidi="ar-SA"/>
              </w:rPr>
              <w:t>Full integration: visuals aligned with Methodology → Key View → Investor Takeaway; Changelog added.</w:t>
            </w:r>
          </w:p>
        </w:tc>
      </w:tr>
    </w:tbl>
    <w:p>
      <w:pPr>
        <w:pStyle w:val="Normal"/>
        <w:rPr/>
      </w:pPr>
      <w:r>
        <w:rPr/>
      </w:r>
      <w:r>
        <w:br w:type="page"/>
      </w:r>
    </w:p>
    <w:p>
      <w:pPr>
        <w:pStyle w:val="Heading1"/>
        <w:spacing w:before="0" w:after="0"/>
        <w:rPr/>
      </w:pPr>
      <w:r>
        <w:rPr/>
        <w:t>Executive Summary</w:t>
      </w:r>
    </w:p>
    <w:tbl>
      <w:tblPr>
        <w:tblStyle w:val="TableGrid"/>
        <w:tblW w:w="8640" w:type="dxa"/>
        <w:jc w:val="center"/>
        <w:tblInd w:w="0" w:type="dxa"/>
        <w:tblLayout w:type="fixed"/>
        <w:tblCellMar>
          <w:top w:w="0" w:type="dxa"/>
          <w:left w:w="108" w:type="dxa"/>
          <w:bottom w:w="0" w:type="dxa"/>
          <w:right w:w="108" w:type="dxa"/>
        </w:tblCellMar>
        <w:tblLook w:firstRow="1" w:noVBand="1" w:lastRow="0" w:firstColumn="1" w:lastColumn="0" w:noHBand="0" w:val="04a0"/>
      </w:tblPr>
      <w:tblGrid>
        <w:gridCol w:w="4320"/>
        <w:gridCol w:w="4319"/>
      </w:tblGrid>
      <w:tr>
        <w:trPr/>
        <w:tc>
          <w:tcPr>
            <w:tcW w:w="8639" w:type="dxa"/>
            <w:gridSpan w:val="2"/>
            <w:tcBorders/>
            <w:shd w:color="auto" w:fill="EAF0E5" w:val="clear"/>
          </w:tcPr>
          <w:p>
            <w:pPr>
              <w:pStyle w:val="Normal"/>
              <w:widowControl/>
              <w:suppressAutoHyphens w:val="true"/>
              <w:spacing w:lineRule="auto" w:line="240" w:before="0" w:after="0"/>
              <w:jc w:val="center"/>
              <w:rPr>
                <w:rFonts w:ascii="Cambria" w:hAnsi="Cambria" w:eastAsia="ＭＳ 明朝" w:cs=""/>
                <w:kern w:val="0"/>
                <w:sz w:val="22"/>
                <w:szCs w:val="22"/>
                <w:lang w:val="en-US" w:eastAsia="en-US" w:bidi="ar-SA"/>
              </w:rPr>
            </w:pPr>
            <w:r>
              <w:rPr>
                <w:rFonts w:eastAsia="ＭＳ 明朝" w:cs=""/>
                <w:b/>
                <w:kern w:val="0"/>
                <w:sz w:val="22"/>
                <w:szCs w:val="22"/>
                <w:lang w:val="en-US" w:eastAsia="en-US" w:bidi="ar-SA"/>
              </w:rPr>
              <w:t>Executive Highlights</w:t>
            </w:r>
          </w:p>
        </w:tc>
      </w:tr>
      <w:tr>
        <w:trPr/>
        <w:tc>
          <w:tcPr>
            <w:tcW w:w="4320" w:type="dxa"/>
            <w:tcBorders/>
            <w:shd w:color="auto" w:fill="EAF0E5" w:val="clear"/>
          </w:tcPr>
          <w:p>
            <w:pPr>
              <w:pStyle w:val="Normal"/>
              <w:widowControl/>
              <w:suppressAutoHyphens w:val="true"/>
              <w:spacing w:lineRule="auto" w:line="240" w:before="0" w:after="0"/>
              <w:jc w:val="left"/>
              <w:rPr>
                <w:rFonts w:ascii="Cambria" w:hAnsi="Cambria" w:eastAsia="ＭＳ 明朝" w:cs=""/>
                <w:kern w:val="0"/>
                <w:sz w:val="22"/>
                <w:szCs w:val="22"/>
                <w:lang w:val="en-US" w:eastAsia="en-US" w:bidi="ar-SA"/>
              </w:rPr>
            </w:pPr>
            <w:r>
              <w:rPr>
                <w:rFonts w:eastAsia="ＭＳ 明朝" w:cs=""/>
                <w:kern w:val="0"/>
                <w:sz w:val="22"/>
                <w:szCs w:val="22"/>
                <w:lang w:val="en-US" w:eastAsia="en-US" w:bidi="ar-SA"/>
              </w:rPr>
              <w:t>IRR</w:t>
            </w:r>
          </w:p>
        </w:tc>
        <w:tc>
          <w:tcPr>
            <w:tcW w:w="4319" w:type="dxa"/>
            <w:tcBorders/>
            <w:shd w:color="auto" w:fill="EAF0E5" w:val="clear"/>
          </w:tcPr>
          <w:p>
            <w:pPr>
              <w:pStyle w:val="Normal"/>
              <w:widowControl/>
              <w:suppressAutoHyphens w:val="true"/>
              <w:spacing w:lineRule="auto" w:line="240" w:before="0" w:after="0"/>
              <w:jc w:val="left"/>
              <w:rPr>
                <w:rFonts w:ascii="Cambria" w:hAnsi="Cambria" w:eastAsia="ＭＳ 明朝" w:cs=""/>
                <w:kern w:val="0"/>
                <w:sz w:val="22"/>
                <w:szCs w:val="22"/>
                <w:lang w:val="en-US" w:eastAsia="en-US" w:bidi="ar-SA"/>
              </w:rPr>
            </w:pPr>
            <w:r>
              <w:rPr>
                <w:rFonts w:eastAsia="ＭＳ 明朝" w:cs=""/>
                <w:kern w:val="0"/>
                <w:sz w:val="22"/>
                <w:szCs w:val="22"/>
                <w:lang w:val="en-US" w:eastAsia="en-US" w:bidi="ar-SA"/>
              </w:rPr>
              <w:t>22%</w:t>
            </w:r>
          </w:p>
        </w:tc>
      </w:tr>
      <w:tr>
        <w:trPr/>
        <w:tc>
          <w:tcPr>
            <w:tcW w:w="4320" w:type="dxa"/>
            <w:tcBorders/>
            <w:shd w:color="auto" w:fill="EAF0E5" w:val="clear"/>
          </w:tcPr>
          <w:p>
            <w:pPr>
              <w:pStyle w:val="Normal"/>
              <w:widowControl/>
              <w:suppressAutoHyphens w:val="true"/>
              <w:spacing w:lineRule="auto" w:line="240" w:before="0" w:after="0"/>
              <w:jc w:val="left"/>
              <w:rPr>
                <w:rFonts w:ascii="Cambria" w:hAnsi="Cambria" w:eastAsia="ＭＳ 明朝" w:cs=""/>
                <w:kern w:val="0"/>
                <w:sz w:val="22"/>
                <w:szCs w:val="22"/>
                <w:lang w:val="en-US" w:eastAsia="en-US" w:bidi="ar-SA"/>
              </w:rPr>
            </w:pPr>
            <w:r>
              <w:rPr>
                <w:rFonts w:eastAsia="ＭＳ 明朝" w:cs=""/>
                <w:kern w:val="0"/>
                <w:sz w:val="22"/>
                <w:szCs w:val="22"/>
                <w:lang w:val="en-US" w:eastAsia="en-US" w:bidi="ar-SA"/>
              </w:rPr>
              <w:t>ROI (Year 5)</w:t>
            </w:r>
          </w:p>
        </w:tc>
        <w:tc>
          <w:tcPr>
            <w:tcW w:w="4319" w:type="dxa"/>
            <w:tcBorders/>
            <w:shd w:color="auto" w:fill="EAF0E5" w:val="clear"/>
          </w:tcPr>
          <w:p>
            <w:pPr>
              <w:pStyle w:val="Normal"/>
              <w:widowControl/>
              <w:suppressAutoHyphens w:val="true"/>
              <w:spacing w:lineRule="auto" w:line="240" w:before="0" w:after="0"/>
              <w:jc w:val="left"/>
              <w:rPr>
                <w:rFonts w:ascii="Cambria" w:hAnsi="Cambria" w:eastAsia="ＭＳ 明朝" w:cs=""/>
                <w:kern w:val="0"/>
                <w:sz w:val="22"/>
                <w:szCs w:val="22"/>
                <w:lang w:val="en-US" w:eastAsia="en-US" w:bidi="ar-SA"/>
              </w:rPr>
            </w:pPr>
            <w:r>
              <w:rPr>
                <w:rFonts w:eastAsia="ＭＳ 明朝" w:cs=""/>
                <w:kern w:val="0"/>
                <w:sz w:val="22"/>
                <w:szCs w:val="22"/>
                <w:lang w:val="en-US" w:eastAsia="en-US" w:bidi="ar-SA"/>
              </w:rPr>
              <w:t>2.8×</w:t>
            </w:r>
          </w:p>
        </w:tc>
      </w:tr>
      <w:tr>
        <w:trPr/>
        <w:tc>
          <w:tcPr>
            <w:tcW w:w="4320" w:type="dxa"/>
            <w:tcBorders/>
            <w:shd w:color="auto" w:fill="EAF0E5" w:val="clear"/>
          </w:tcPr>
          <w:p>
            <w:pPr>
              <w:pStyle w:val="Normal"/>
              <w:widowControl/>
              <w:suppressAutoHyphens w:val="true"/>
              <w:spacing w:lineRule="auto" w:line="240" w:before="0" w:after="0"/>
              <w:jc w:val="left"/>
              <w:rPr>
                <w:rFonts w:ascii="Cambria" w:hAnsi="Cambria" w:eastAsia="ＭＳ 明朝" w:cs=""/>
                <w:kern w:val="0"/>
                <w:sz w:val="22"/>
                <w:szCs w:val="22"/>
                <w:lang w:val="en-US" w:eastAsia="en-US" w:bidi="ar-SA"/>
              </w:rPr>
            </w:pPr>
            <w:r>
              <w:rPr>
                <w:rFonts w:eastAsia="ＭＳ 明朝" w:cs=""/>
                <w:kern w:val="0"/>
                <w:sz w:val="22"/>
                <w:szCs w:val="22"/>
                <w:lang w:val="en-US" w:eastAsia="en-US" w:bidi="ar-SA"/>
              </w:rPr>
              <w:t>Payback</w:t>
            </w:r>
          </w:p>
        </w:tc>
        <w:tc>
          <w:tcPr>
            <w:tcW w:w="4319" w:type="dxa"/>
            <w:tcBorders/>
            <w:shd w:color="auto" w:fill="EAF0E5" w:val="clear"/>
          </w:tcPr>
          <w:p>
            <w:pPr>
              <w:pStyle w:val="Normal"/>
              <w:widowControl/>
              <w:suppressAutoHyphens w:val="true"/>
              <w:spacing w:lineRule="auto" w:line="240" w:before="0" w:after="0"/>
              <w:jc w:val="left"/>
              <w:rPr>
                <w:rFonts w:ascii="Cambria" w:hAnsi="Cambria" w:eastAsia="ＭＳ 明朝" w:cs=""/>
                <w:kern w:val="0"/>
                <w:sz w:val="22"/>
                <w:szCs w:val="22"/>
                <w:lang w:val="en-US" w:eastAsia="en-US" w:bidi="ar-SA"/>
              </w:rPr>
            </w:pPr>
            <w:r>
              <w:rPr>
                <w:rFonts w:eastAsia="ＭＳ 明朝" w:cs=""/>
                <w:kern w:val="0"/>
                <w:sz w:val="22"/>
                <w:szCs w:val="22"/>
                <w:lang w:val="en-US" w:eastAsia="en-US" w:bidi="ar-SA"/>
              </w:rPr>
              <w:t>&lt; 2 years</w:t>
            </w:r>
          </w:p>
        </w:tc>
      </w:tr>
      <w:tr>
        <w:trPr/>
        <w:tc>
          <w:tcPr>
            <w:tcW w:w="4320" w:type="dxa"/>
            <w:tcBorders/>
            <w:shd w:color="auto" w:fill="EAF0E5" w:val="clear"/>
          </w:tcPr>
          <w:p>
            <w:pPr>
              <w:pStyle w:val="Normal"/>
              <w:widowControl/>
              <w:suppressAutoHyphens w:val="true"/>
              <w:spacing w:lineRule="auto" w:line="240" w:before="0" w:after="0"/>
              <w:jc w:val="left"/>
              <w:rPr>
                <w:rFonts w:ascii="Cambria" w:hAnsi="Cambria" w:eastAsia="ＭＳ 明朝" w:cs=""/>
                <w:kern w:val="0"/>
                <w:sz w:val="22"/>
                <w:szCs w:val="22"/>
                <w:lang w:val="en-US" w:eastAsia="en-US" w:bidi="ar-SA"/>
              </w:rPr>
            </w:pPr>
            <w:r>
              <w:rPr>
                <w:rFonts w:eastAsia="ＭＳ 明朝" w:cs=""/>
                <w:kern w:val="0"/>
                <w:sz w:val="22"/>
                <w:szCs w:val="22"/>
                <w:lang w:val="en-US" w:eastAsia="en-US" w:bidi="ar-SA"/>
              </w:rPr>
              <w:t>Asset-backed</w:t>
            </w:r>
          </w:p>
        </w:tc>
        <w:tc>
          <w:tcPr>
            <w:tcW w:w="4319" w:type="dxa"/>
            <w:tcBorders/>
            <w:shd w:color="auto" w:fill="EAF0E5" w:val="clear"/>
          </w:tcPr>
          <w:p>
            <w:pPr>
              <w:pStyle w:val="Normal"/>
              <w:widowControl/>
              <w:suppressAutoHyphens w:val="true"/>
              <w:spacing w:lineRule="auto" w:line="240" w:before="0" w:after="0"/>
              <w:jc w:val="left"/>
              <w:rPr>
                <w:rFonts w:ascii="Cambria" w:hAnsi="Cambria" w:eastAsia="ＭＳ 明朝" w:cs=""/>
                <w:kern w:val="0"/>
                <w:sz w:val="22"/>
                <w:szCs w:val="22"/>
                <w:lang w:val="en-US" w:eastAsia="en-US" w:bidi="ar-SA"/>
              </w:rPr>
            </w:pPr>
            <w:r>
              <w:rPr>
                <w:rFonts w:eastAsia="ＭＳ 明朝" w:cs=""/>
                <w:kern w:val="0"/>
                <w:sz w:val="22"/>
                <w:szCs w:val="22"/>
                <w:lang w:val="en-US" w:eastAsia="en-US" w:bidi="ar-SA"/>
              </w:rPr>
              <w:t>Land security</w:t>
            </w:r>
          </w:p>
        </w:tc>
      </w:tr>
      <w:tr>
        <w:trPr/>
        <w:tc>
          <w:tcPr>
            <w:tcW w:w="4320" w:type="dxa"/>
            <w:tcBorders/>
            <w:shd w:color="auto" w:fill="EAF0E5" w:val="clear"/>
          </w:tcPr>
          <w:p>
            <w:pPr>
              <w:pStyle w:val="Normal"/>
              <w:widowControl/>
              <w:suppressAutoHyphens w:val="true"/>
              <w:spacing w:lineRule="auto" w:line="240" w:before="0" w:after="0"/>
              <w:jc w:val="left"/>
              <w:rPr>
                <w:rFonts w:ascii="Cambria" w:hAnsi="Cambria" w:eastAsia="ＭＳ 明朝" w:cs=""/>
                <w:kern w:val="0"/>
                <w:sz w:val="22"/>
                <w:szCs w:val="22"/>
                <w:lang w:val="en-US" w:eastAsia="en-US" w:bidi="ar-SA"/>
              </w:rPr>
            </w:pPr>
            <w:r>
              <w:rPr>
                <w:rFonts w:eastAsia="ＭＳ 明朝" w:cs=""/>
                <w:kern w:val="0"/>
                <w:sz w:val="22"/>
                <w:szCs w:val="22"/>
                <w:lang w:val="en-US" w:eastAsia="en-US" w:bidi="ar-SA"/>
              </w:rPr>
              <w:t>Impact</w:t>
            </w:r>
          </w:p>
        </w:tc>
        <w:tc>
          <w:tcPr>
            <w:tcW w:w="4319" w:type="dxa"/>
            <w:tcBorders/>
            <w:shd w:color="auto" w:fill="EAF0E5" w:val="clear"/>
          </w:tcPr>
          <w:p>
            <w:pPr>
              <w:pStyle w:val="Normal"/>
              <w:widowControl/>
              <w:suppressAutoHyphens w:val="true"/>
              <w:spacing w:lineRule="auto" w:line="240" w:before="0" w:after="0"/>
              <w:jc w:val="left"/>
              <w:rPr>
                <w:rFonts w:ascii="Cambria" w:hAnsi="Cambria" w:eastAsia="ＭＳ 明朝" w:cs=""/>
                <w:kern w:val="0"/>
                <w:sz w:val="22"/>
                <w:szCs w:val="22"/>
                <w:lang w:val="en-US" w:eastAsia="en-US" w:bidi="ar-SA"/>
              </w:rPr>
            </w:pPr>
            <w:r>
              <w:rPr>
                <w:rFonts w:eastAsia="ＭＳ 明朝" w:cs=""/>
                <w:kern w:val="0"/>
                <w:sz w:val="22"/>
                <w:szCs w:val="22"/>
                <w:lang w:val="en-US" w:eastAsia="en-US" w:bidi="ar-SA"/>
              </w:rPr>
              <w:t>Jobs 10 → 20; Land 2 → 5 ha; Carbon negative by Y2</w:t>
            </w:r>
          </w:p>
        </w:tc>
      </w:tr>
    </w:tbl>
    <w:p>
      <w:pPr>
        <w:pStyle w:val="Normal"/>
        <w:rPr/>
      </w:pPr>
      <w:r>
        <w:rPr/>
      </w:r>
    </w:p>
    <w:p>
      <w:pPr>
        <w:pStyle w:val="Normal"/>
        <w:rPr/>
      </w:pPr>
      <w:r>
        <w:t>Mission &amp; Vision</w:t>
        <w:br/>
        <w:t>Terra Vita exists to heal land, enrich lives, and build a lasting legacy. Our integrated model unites regenerative agriculture, essential oil production, and eco-hospitality—all underpinned by rigorous ESG governance.</w:t>
      </w:r>
    </w:p>
    <w:p>
      <w:pPr>
        <w:pStyle w:val="Normal"/>
        <w:rPr/>
      </w:pPr>
      <w:r>
        <w:rPr/>
        <w:t>Funding ask: €350,000 seed capital. IRR ~22%, Payback &lt;2 years, ROI 2.8x by Year 5.</w:t>
      </w:r>
    </w:p>
    <w:p>
      <w:pPr>
        <w:pStyle w:val="Normal"/>
        <w:jc w:val="center"/>
        <w:rPr/>
      </w:pPr>
      <w:r>
        <w:rPr/>
        <w:drawing>
          <wp:inline distT="0" distB="0" distL="0" distR="0">
            <wp:extent cx="4846320" cy="3857625"/>
            <wp:effectExtent l="0" t="0" r="0" b="0"/>
            <wp:docPr id="2" name="Picture 2"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
                    <pic:cNvPicPr>
                      <a:picLocks noChangeAspect="1" noChangeArrowheads="1"/>
                    </pic:cNvPicPr>
                  </pic:nvPicPr>
                  <pic:blipFill>
                    <a:blip r:embed="rId3"/>
                    <a:stretch>
                      <a:fillRect/>
                    </a:stretch>
                  </pic:blipFill>
                  <pic:spPr bwMode="auto">
                    <a:xfrm>
                      <a:off x="0" y="0"/>
                      <a:ext cx="4846320" cy="3857625"/>
                    </a:xfrm>
                    <a:prstGeom prst="rect">
                      <a:avLst/>
                    </a:prstGeom>
                  </pic:spPr>
                </pic:pic>
              </a:graphicData>
            </a:graphic>
          </wp:inline>
        </w:drawing>
      </w:r>
    </w:p>
    <w:p>
      <w:pPr>
        <w:pStyle w:val="Normal"/>
        <w:jc w:val="center"/>
        <w:rPr/>
      </w:pPr>
      <w:r>
        <w:rPr>
          <w:i/>
        </w:rPr>
        <w:t>Figure 1 – Terra Vita Golden Triangle</w:t>
      </w:r>
    </w:p>
    <w:p>
      <w:pPr>
        <w:pStyle w:val="Normal"/>
        <w:rPr/>
      </w:pPr>
      <w:r>
        <w:rPr/>
      </w:r>
      <w:r>
        <w:br w:type="page"/>
      </w:r>
    </w:p>
    <w:p>
      <w:pPr>
        <w:pStyle w:val="Heading2"/>
        <w:spacing w:before="0" w:after="283"/>
        <w:rPr/>
      </w:pPr>
      <w:r>
        <w:rPr/>
        <w:t xml:space="preserve">🏡 </w:t>
      </w:r>
      <w:r>
        <w:rPr/>
        <w:t>Company Overview – Terra Vita Eco Farm &amp; Retreats Pty Ltd</w:t>
      </w:r>
    </w:p>
    <w:p>
      <w:pPr>
        <w:pStyle w:val="BodyText"/>
        <w:rPr/>
      </w:pPr>
      <w:r>
        <w:rPr/>
        <w:t>Terra Vita is a regenerative eco-enterprise founded by Theresa Van Der Walt and Yuri van de Wal, rooted in the fertile landscapes of South Africa’s Eastern Cape. The venture harmonizes sustainable agriculture, essential oil production, and eco-hospitality into a single, asset-backed investment opportunity—designed to heal land, lives, and legacy.</w:t>
      </w:r>
    </w:p>
    <w:p>
      <w:pPr>
        <w:pStyle w:val="Heading3"/>
        <w:spacing w:before="200" w:after="283"/>
        <w:rPr/>
      </w:pPr>
      <w:r>
        <w:rPr/>
        <w:t xml:space="preserve">🌿 </w:t>
      </w:r>
      <w:r>
        <w:rPr/>
        <w:t>Founding Vision</w:t>
      </w:r>
    </w:p>
    <w:p>
      <w:pPr>
        <w:pStyle w:val="BodyText"/>
        <w:rPr/>
      </w:pPr>
      <w:r>
        <w:t>Terra Vita was founded on the belief that land restoration and community empowerment can thrive alongside financial sustainability. By combining deep expertise in regenerative farming, impact storytelling, and transparent governance, the founders have created a business that is both soulful and scalable. The founders bring together deep expertise in regenerative farming, impact storytelling, and investor-grade governance—crafting a business that is both soulful and scalable.</w:t>
      </w:r>
    </w:p>
    <w:p>
      <w:pPr>
        <w:pStyle w:val="Heading3"/>
        <w:spacing w:before="200" w:after="283"/>
        <w:rPr/>
      </w:pPr>
      <w:r>
        <w:rPr/>
        <w:t xml:space="preserve">🧩 </w:t>
      </w:r>
      <w:r>
        <w:rPr/>
        <w:t>Core Pillars</w:t>
      </w:r>
    </w:p>
    <w:p>
      <w:pPr>
        <w:pStyle w:val="BodyText"/>
        <w:rPr/>
      </w:pPr>
      <w:r>
        <w:rPr/>
        <w:t>Terra Vita’s “Golden Triangle” model integrates three synergistic pillars:</w:t>
      </w:r>
    </w:p>
    <w:p>
      <w:pPr>
        <w:pStyle w:val="BodyText"/>
        <w:numPr>
          <w:ilvl w:val="0"/>
          <w:numId w:val="7"/>
        </w:numPr>
        <w:tabs>
          <w:tab w:val="clear" w:pos="720"/>
          <w:tab w:val="left" w:pos="0" w:leader="none"/>
        </w:tabs>
        <w:ind w:hanging="283" w:left="709"/>
        <w:rPr/>
      </w:pPr>
      <w:r>
        <w:rPr>
          <w:rStyle w:val="Strong"/>
        </w:rPr>
        <w:t>Regenerative Agriculture</w:t>
      </w:r>
      <w:r>
        <w:rPr/>
        <w:t>: Cultivation of lavender, peppermint, and lemongrass—selected for climate resilience, oil yield, and biodiversity impact.</w:t>
      </w:r>
    </w:p>
    <w:p>
      <w:pPr>
        <w:pStyle w:val="BodyText"/>
        <w:numPr>
          <w:ilvl w:val="0"/>
          <w:numId w:val="7"/>
        </w:numPr>
        <w:tabs>
          <w:tab w:val="clear" w:pos="720"/>
          <w:tab w:val="left" w:pos="0" w:leader="none"/>
        </w:tabs>
        <w:ind w:hanging="283" w:left="709"/>
        <w:rPr/>
      </w:pPr>
      <w:r>
        <w:rPr>
          <w:rStyle w:val="Strong"/>
        </w:rPr>
        <w:t>Essential Oil Production</w:t>
      </w:r>
      <w:r>
        <w:rPr/>
        <w:t>: On-site distillation and value-added product development, with export potential and wellness applications.</w:t>
      </w:r>
    </w:p>
    <w:p>
      <w:pPr>
        <w:pStyle w:val="BodyText"/>
        <w:numPr>
          <w:ilvl w:val="0"/>
          <w:numId w:val="7"/>
        </w:numPr>
        <w:tabs>
          <w:tab w:val="clear" w:pos="720"/>
          <w:tab w:val="left" w:pos="0" w:leader="none"/>
        </w:tabs>
        <w:ind w:hanging="283" w:left="709"/>
        <w:rPr/>
      </w:pPr>
      <w:r>
        <w:rPr>
          <w:rStyle w:val="Strong"/>
        </w:rPr>
        <w:t>Eco-Hospitality &amp; Mindset Retreats</w:t>
      </w:r>
      <w:r>
        <w:rPr/>
        <w:t>: Boutique B&amp;B, pet wellness modules, and immersive workshops designed to restore guests and ecosystems alike.</w:t>
      </w:r>
    </w:p>
    <w:p>
      <w:pPr>
        <w:pStyle w:val="Heading3"/>
        <w:spacing w:before="200" w:after="283"/>
        <w:rPr/>
      </w:pPr>
      <w:r>
        <w:rPr/>
        <w:t xml:space="preserve">📍 </w:t>
      </w:r>
      <w:r>
        <w:rPr/>
        <w:t>Strategic Location</w:t>
      </w:r>
    </w:p>
    <w:p>
      <w:pPr>
        <w:pStyle w:val="BodyText"/>
        <w:rPr/>
      </w:pPr>
      <w:r>
        <w:rPr/>
        <w:t>Situated in the Eastern Cape, Terra Vita benefits from:</w:t>
      </w:r>
    </w:p>
    <w:p>
      <w:pPr>
        <w:pStyle w:val="BodyText"/>
        <w:numPr>
          <w:ilvl w:val="0"/>
          <w:numId w:val="8"/>
        </w:numPr>
        <w:tabs>
          <w:tab w:val="clear" w:pos="720"/>
          <w:tab w:val="left" w:pos="0" w:leader="none"/>
        </w:tabs>
        <w:ind w:hanging="283" w:left="709"/>
        <w:rPr/>
      </w:pPr>
      <w:r>
        <w:rPr/>
        <w:t>Ideal agro-climatic conditions for essential oils</w:t>
      </w:r>
    </w:p>
    <w:p>
      <w:pPr>
        <w:pStyle w:val="BodyText"/>
        <w:numPr>
          <w:ilvl w:val="0"/>
          <w:numId w:val="8"/>
        </w:numPr>
        <w:tabs>
          <w:tab w:val="clear" w:pos="720"/>
          <w:tab w:val="left" w:pos="0" w:leader="none"/>
        </w:tabs>
        <w:ind w:hanging="283" w:left="709"/>
        <w:rPr/>
      </w:pPr>
      <w:r>
        <w:rPr/>
        <w:t>Access to ecotourism routes and community partnerships</w:t>
      </w:r>
    </w:p>
    <w:p>
      <w:pPr>
        <w:pStyle w:val="BodyText"/>
        <w:numPr>
          <w:ilvl w:val="0"/>
          <w:numId w:val="8"/>
        </w:numPr>
        <w:tabs>
          <w:tab w:val="clear" w:pos="720"/>
          <w:tab w:val="left" w:pos="0" w:leader="none"/>
        </w:tabs>
        <w:ind w:hanging="283" w:left="709"/>
        <w:rPr/>
      </w:pPr>
      <w:r>
        <w:rPr/>
        <w:t>Affordable land with long-term security and scalability</w:t>
      </w:r>
    </w:p>
    <w:p>
      <w:pPr>
        <w:pStyle w:val="Heading3"/>
        <w:spacing w:before="200" w:after="283"/>
        <w:rPr/>
      </w:pPr>
      <w:r>
        <w:rPr/>
        <w:t xml:space="preserve">💼 </w:t>
      </w:r>
      <w:r>
        <w:rPr/>
        <w:t>Governance &amp; Structure</w:t>
      </w:r>
    </w:p>
    <w:p>
      <w:pPr>
        <w:pStyle w:val="BodyText"/>
        <w:numPr>
          <w:ilvl w:val="0"/>
          <w:numId w:val="9"/>
        </w:numPr>
        <w:tabs>
          <w:tab w:val="clear" w:pos="720"/>
          <w:tab w:val="left" w:pos="0" w:leader="none"/>
        </w:tabs>
        <w:ind w:hanging="283" w:left="709"/>
        <w:rPr/>
      </w:pPr>
      <w:r>
        <w:rPr/>
        <w:t>Incorporated as Terra Vita Eco Farm &amp; Retreats Pty Ltd</w:t>
      </w:r>
    </w:p>
    <w:p>
      <w:pPr>
        <w:pStyle w:val="BodyText"/>
        <w:numPr>
          <w:ilvl w:val="0"/>
          <w:numId w:val="9"/>
        </w:numPr>
        <w:tabs>
          <w:tab w:val="clear" w:pos="720"/>
          <w:tab w:val="left" w:pos="0" w:leader="none"/>
        </w:tabs>
        <w:ind w:hanging="283" w:left="709"/>
        <w:rPr/>
      </w:pPr>
      <w:r>
        <w:rPr/>
        <w:t>Pre-launch status with full investor pack (v30.4) and annexes A–H</w:t>
      </w:r>
    </w:p>
    <w:p>
      <w:pPr>
        <w:pStyle w:val="BodyText"/>
        <w:numPr>
          <w:ilvl w:val="0"/>
          <w:numId w:val="9"/>
        </w:numPr>
        <w:tabs>
          <w:tab w:val="clear" w:pos="720"/>
          <w:tab w:val="left" w:pos="0" w:leader="none"/>
        </w:tabs>
        <w:ind w:hanging="283" w:left="709"/>
        <w:rPr/>
      </w:pPr>
      <w:r>
        <w:rPr/>
        <w:t>Transparent funding logic, risk register, and ESG metrics</w:t>
      </w:r>
    </w:p>
    <w:p>
      <w:pPr>
        <w:pStyle w:val="BodyText"/>
        <w:numPr>
          <w:ilvl w:val="0"/>
          <w:numId w:val="9"/>
        </w:numPr>
        <w:tabs>
          <w:tab w:val="clear" w:pos="720"/>
          <w:tab w:val="left" w:pos="0" w:leader="none"/>
        </w:tabs>
        <w:ind w:hanging="283" w:left="709"/>
        <w:rPr/>
      </w:pPr>
      <w:r>
        <w:rPr/>
        <w:t>Embedded confidentiality protocols and version control</w:t>
      </w:r>
    </w:p>
    <w:p>
      <w:pPr>
        <w:pStyle w:val="Heading3"/>
        <w:spacing w:before="200" w:after="283"/>
        <w:rPr/>
      </w:pPr>
      <w:r>
        <w:rPr/>
        <w:t xml:space="preserve">🌍 </w:t>
      </w:r>
      <w:r>
        <w:rPr/>
        <w:t>Impact Orientation</w:t>
      </w:r>
    </w:p>
    <w:p>
      <w:pPr>
        <w:pStyle w:val="BodyText"/>
        <w:rPr/>
      </w:pPr>
      <w:r>
        <w:rPr/>
        <w:t>Terra Vita is designed to deliver measurable outcomes:</w:t>
      </w:r>
    </w:p>
    <w:p>
      <w:pPr>
        <w:pStyle w:val="BodyText"/>
        <w:numPr>
          <w:ilvl w:val="0"/>
          <w:numId w:val="10"/>
        </w:numPr>
        <w:tabs>
          <w:tab w:val="clear" w:pos="720"/>
          <w:tab w:val="left" w:pos="0" w:leader="none"/>
        </w:tabs>
        <w:ind w:hanging="283" w:left="709"/>
        <w:rPr/>
      </w:pPr>
      <w:r>
        <w:rPr>
          <w:rStyle w:val="Strong"/>
        </w:rPr>
        <w:t>Jobs</w:t>
      </w:r>
      <w:r>
        <w:rPr/>
        <w:t>: 10 → 20 (SDG 8)</w:t>
      </w:r>
    </w:p>
    <w:p>
      <w:pPr>
        <w:pStyle w:val="BodyText"/>
        <w:numPr>
          <w:ilvl w:val="0"/>
          <w:numId w:val="10"/>
        </w:numPr>
        <w:tabs>
          <w:tab w:val="clear" w:pos="720"/>
          <w:tab w:val="left" w:pos="0" w:leader="none"/>
        </w:tabs>
        <w:ind w:hanging="283" w:left="709"/>
        <w:rPr/>
      </w:pPr>
      <w:r>
        <w:rPr>
          <w:rStyle w:val="Strong"/>
        </w:rPr>
        <w:t>Land Restoration</w:t>
      </w:r>
      <w:r>
        <w:rPr/>
        <w:t>: 2 → 5 ha (SDG 15)</w:t>
      </w:r>
    </w:p>
    <w:p>
      <w:pPr>
        <w:pStyle w:val="BodyText"/>
        <w:numPr>
          <w:ilvl w:val="0"/>
          <w:numId w:val="10"/>
        </w:numPr>
        <w:tabs>
          <w:tab w:val="clear" w:pos="720"/>
          <w:tab w:val="left" w:pos="0" w:leader="none"/>
        </w:tabs>
        <w:ind w:hanging="283" w:left="709"/>
        <w:rPr/>
      </w:pPr>
      <w:r>
        <w:rPr>
          <w:rStyle w:val="Strong"/>
        </w:rPr>
        <w:t>Carbon Negative</w:t>
      </w:r>
      <w:r>
        <w:rPr/>
        <w:t>: Achieved by Year 2 (SDG 13)</w:t>
      </w:r>
    </w:p>
    <w:p>
      <w:pPr>
        <w:pStyle w:val="BodyText"/>
        <w:numPr>
          <w:ilvl w:val="0"/>
          <w:numId w:val="10"/>
        </w:numPr>
        <w:tabs>
          <w:tab w:val="clear" w:pos="720"/>
          <w:tab w:val="left" w:pos="0" w:leader="none"/>
        </w:tabs>
        <w:ind w:hanging="283" w:left="709"/>
        <w:rPr/>
      </w:pPr>
      <w:r>
        <w:rPr>
          <w:rStyle w:val="Strong"/>
        </w:rPr>
        <w:t>Community Workshops</w:t>
      </w:r>
      <w:r>
        <w:rPr/>
        <w:t>: 3/year (SDG 4)</w:t>
      </w:r>
    </w:p>
    <w:p>
      <w:pPr>
        <w:pStyle w:val="Heading3"/>
        <w:spacing w:before="200" w:after="283"/>
        <w:rPr/>
      </w:pPr>
      <w:r>
        <w:rPr/>
        <w:t xml:space="preserve">💬 </w:t>
      </w:r>
      <w:r>
        <w:rPr/>
        <w:t>Founder’s Ethos</w:t>
      </w:r>
    </w:p>
    <w:p>
      <w:pPr>
        <w:pStyle w:val="BodyText"/>
        <w:rPr/>
      </w:pPr>
      <w:r>
        <w:rPr/>
        <w:t>Theresa and Yuri lead with warmth, rigor, and relentless attention to detail. Every touchpoint—from branded visuals to annex navigation—is crafted to build trust, clarity, and emotional connection with investors.</w:t>
      </w:r>
    </w:p>
    <w:p>
      <w:pPr>
        <w:pStyle w:val="Normal"/>
        <w:rPr/>
      </w:pPr>
      <w:r>
        <w:rPr/>
        <w:t>.</w:t>
      </w:r>
    </w:p>
    <w:p>
      <w:pPr>
        <w:pStyle w:val="Normal"/>
        <w:rPr/>
      </w:pPr>
      <w:r>
        <w:rPr/>
      </w:r>
      <w:r>
        <w:br w:type="page"/>
      </w:r>
    </w:p>
    <w:p>
      <w:pPr>
        <w:pStyle w:val="Heading2"/>
        <w:spacing w:before="0" w:after="283"/>
        <w:rPr/>
      </w:pPr>
      <w:r>
        <w:rPr/>
        <w:t xml:space="preserve">📊 </w:t>
      </w:r>
      <w:r>
        <w:rPr/>
        <w:t>Market Analysis – Terra Vita Eco Farm &amp; Retreats</w:t>
      </w:r>
    </w:p>
    <w:p>
      <w:pPr>
        <w:pStyle w:val="BodyText"/>
        <w:rPr/>
      </w:pPr>
      <w:r>
        <w:rPr/>
        <w:t>Terra Vita operates at the intersection of three high-growth sectors: regenerative agriculture, essential oils, and eco-hospitality. Each segment is experiencing global tailwinds, while the Eastern Cape offers unique agro-climatic advantages and cost efficiencies.</w:t>
      </w:r>
    </w:p>
    <w:p>
      <w:pPr>
        <w:pStyle w:val="Heading3"/>
        <w:spacing w:before="200" w:after="283"/>
        <w:rPr/>
      </w:pPr>
      <w:r>
        <w:rPr/>
        <w:t xml:space="preserve">🌿 </w:t>
      </w:r>
      <w:r>
        <w:rPr/>
        <w:t>Essential Oils – Global Growth Meets Local Advantage</w:t>
      </w:r>
    </w:p>
    <w:p>
      <w:pPr>
        <w:pStyle w:val="BodyText"/>
        <w:numPr>
          <w:ilvl w:val="0"/>
          <w:numId w:val="11"/>
        </w:numPr>
        <w:tabs>
          <w:tab w:val="clear" w:pos="720"/>
          <w:tab w:val="left" w:pos="0" w:leader="none"/>
        </w:tabs>
        <w:ind w:hanging="283" w:left="709"/>
        <w:rPr/>
      </w:pPr>
      <w:r>
        <w:rPr>
          <w:rStyle w:val="Strong"/>
        </w:rPr>
        <w:t>Market Size</w:t>
      </w:r>
      <w:r>
        <w:rPr/>
        <w:t>: The global essential oils market is projected to exceed €20 billion by 2027, driven by wellness, cosmetics, and natural remedies.</w:t>
      </w:r>
    </w:p>
    <w:p>
      <w:pPr>
        <w:pStyle w:val="BodyText"/>
        <w:numPr>
          <w:ilvl w:val="0"/>
          <w:numId w:val="11"/>
        </w:numPr>
        <w:tabs>
          <w:tab w:val="clear" w:pos="720"/>
          <w:tab w:val="left" w:pos="0" w:leader="none"/>
        </w:tabs>
        <w:ind w:hanging="283" w:left="709"/>
        <w:rPr/>
      </w:pPr>
      <w:r>
        <w:rPr>
          <w:rStyle w:val="Strong"/>
        </w:rPr>
        <w:t>Key Drivers</w:t>
      </w:r>
      <w:r>
        <w:rPr/>
        <w:t>: Rising consumer preference for plant-based products, aromatherapy, and clean-label formulations.</w:t>
      </w:r>
    </w:p>
    <w:p>
      <w:pPr>
        <w:pStyle w:val="BodyText"/>
        <w:numPr>
          <w:ilvl w:val="0"/>
          <w:numId w:val="11"/>
        </w:numPr>
        <w:tabs>
          <w:tab w:val="clear" w:pos="720"/>
          <w:tab w:val="left" w:pos="0" w:leader="none"/>
        </w:tabs>
        <w:ind w:hanging="283" w:left="709"/>
        <w:rPr/>
      </w:pPr>
      <w:r>
        <w:rPr>
          <w:rStyle w:val="Strong"/>
        </w:rPr>
        <w:t>Terra Vita Edge</w:t>
      </w:r>
      <w:r>
        <w:rPr/>
        <w:t>:</w:t>
      </w:r>
    </w:p>
    <w:p>
      <w:pPr>
        <w:pStyle w:val="BodyText"/>
        <w:numPr>
          <w:ilvl w:val="1"/>
          <w:numId w:val="11"/>
        </w:numPr>
        <w:tabs>
          <w:tab w:val="clear" w:pos="720"/>
          <w:tab w:val="left" w:pos="0" w:leader="none"/>
        </w:tabs>
        <w:ind w:hanging="283" w:left="1418"/>
        <w:rPr/>
      </w:pPr>
      <w:r>
        <w:rPr/>
        <w:t>Eastern Cape’s soil and climate are ideal for lavender, peppermint, and lemongrass.</w:t>
      </w:r>
    </w:p>
    <w:p>
      <w:pPr>
        <w:pStyle w:val="BodyText"/>
        <w:numPr>
          <w:ilvl w:val="1"/>
          <w:numId w:val="11"/>
        </w:numPr>
        <w:tabs>
          <w:tab w:val="clear" w:pos="720"/>
          <w:tab w:val="left" w:pos="0" w:leader="none"/>
        </w:tabs>
        <w:ind w:hanging="283" w:left="1418"/>
        <w:rPr/>
      </w:pPr>
      <w:r>
        <w:rPr/>
        <w:t>Low input costs and high oil yield per hectare.</w:t>
      </w:r>
    </w:p>
    <w:p>
      <w:pPr>
        <w:pStyle w:val="BodyText"/>
        <w:numPr>
          <w:ilvl w:val="1"/>
          <w:numId w:val="11"/>
        </w:numPr>
        <w:tabs>
          <w:tab w:val="clear" w:pos="720"/>
          <w:tab w:val="left" w:pos="0" w:leader="none"/>
        </w:tabs>
        <w:ind w:hanging="283" w:left="1418"/>
        <w:rPr/>
      </w:pPr>
      <w:r>
        <w:rPr/>
        <w:t>On-site distillation enables vertical integration and margin control.</w:t>
      </w:r>
    </w:p>
    <w:p>
      <w:pPr>
        <w:pStyle w:val="Heading3"/>
        <w:spacing w:before="200" w:after="283"/>
        <w:rPr/>
      </w:pPr>
      <w:r>
        <w:rPr/>
        <w:t xml:space="preserve">🛏️ </w:t>
      </w:r>
      <w:r>
        <w:rPr/>
        <w:t>Eco-Hospitality – Conscious Travel on the Rise</w:t>
      </w:r>
    </w:p>
    <w:p>
      <w:pPr>
        <w:pStyle w:val="BodyText"/>
        <w:numPr>
          <w:ilvl w:val="0"/>
          <w:numId w:val="12"/>
        </w:numPr>
        <w:tabs>
          <w:tab w:val="clear" w:pos="720"/>
          <w:tab w:val="left" w:pos="0" w:leader="none"/>
        </w:tabs>
        <w:ind w:hanging="283" w:left="709"/>
        <w:rPr/>
      </w:pPr>
      <w:r>
        <w:t>Market Trend: A structural shift in global travel now favors nature, wellness, and purpose-led experiences. South Africa ranks among the world’s top eco-destinations, making the Eastern Cape a prime location for authentic, boutique retreats that blend environmental regeneration with mindful hospitality.</w:t>
      </w:r>
    </w:p>
    <w:p>
      <w:pPr>
        <w:pStyle w:val="BodyText"/>
        <w:numPr>
          <w:ilvl w:val="0"/>
          <w:numId w:val="12"/>
        </w:numPr>
        <w:tabs>
          <w:tab w:val="clear" w:pos="720"/>
          <w:tab w:val="left" w:pos="0" w:leader="none"/>
        </w:tabs>
        <w:ind w:hanging="283" w:left="709"/>
        <w:rPr/>
      </w:pPr>
      <w:r>
        <w:rPr>
          <w:rStyle w:val="Strong"/>
        </w:rPr>
        <w:t>South Africa’s Position</w:t>
      </w:r>
      <w:r>
        <w:rPr/>
        <w:t>: Ranked among top ecotourism destinations, with growing demand for boutique retreats and regenerative stays.</w:t>
      </w:r>
    </w:p>
    <w:p>
      <w:pPr>
        <w:pStyle w:val="BodyText"/>
        <w:numPr>
          <w:ilvl w:val="0"/>
          <w:numId w:val="12"/>
        </w:numPr>
        <w:tabs>
          <w:tab w:val="clear" w:pos="720"/>
          <w:tab w:val="left" w:pos="0" w:leader="none"/>
        </w:tabs>
        <w:ind w:hanging="283" w:left="709"/>
        <w:rPr/>
      </w:pPr>
      <w:r>
        <w:rPr>
          <w:rStyle w:val="Strong"/>
        </w:rPr>
        <w:t>Terra Vita Edge</w:t>
      </w:r>
      <w:r>
        <w:rPr/>
        <w:t>:</w:t>
      </w:r>
    </w:p>
    <w:p>
      <w:pPr>
        <w:pStyle w:val="BodyText"/>
        <w:numPr>
          <w:ilvl w:val="1"/>
          <w:numId w:val="12"/>
        </w:numPr>
        <w:tabs>
          <w:tab w:val="clear" w:pos="720"/>
          <w:tab w:val="left" w:pos="0" w:leader="none"/>
        </w:tabs>
        <w:ind w:hanging="283" w:left="1418"/>
        <w:rPr/>
      </w:pPr>
      <w:r>
        <w:rPr/>
        <w:t>B&amp;B model with mindset coaching and pet wellness modules.</w:t>
      </w:r>
    </w:p>
    <w:p>
      <w:pPr>
        <w:pStyle w:val="BodyText"/>
        <w:numPr>
          <w:ilvl w:val="1"/>
          <w:numId w:val="12"/>
        </w:numPr>
        <w:tabs>
          <w:tab w:val="clear" w:pos="720"/>
          <w:tab w:val="left" w:pos="0" w:leader="none"/>
        </w:tabs>
        <w:ind w:hanging="283" w:left="1418"/>
        <w:rPr/>
      </w:pPr>
      <w:r>
        <w:rPr/>
        <w:t>Integration of workshops and community activation (SDG 4).</w:t>
      </w:r>
    </w:p>
    <w:p>
      <w:pPr>
        <w:pStyle w:val="BodyText"/>
        <w:numPr>
          <w:ilvl w:val="1"/>
          <w:numId w:val="12"/>
        </w:numPr>
        <w:tabs>
          <w:tab w:val="clear" w:pos="720"/>
          <w:tab w:val="left" w:pos="0" w:leader="none"/>
        </w:tabs>
        <w:ind w:hanging="283" w:left="1418"/>
        <w:rPr/>
      </w:pPr>
      <w:r>
        <w:rPr/>
        <w:t>Land-based experiences tied to ESG storytelling.</w:t>
      </w:r>
    </w:p>
    <w:p>
      <w:pPr>
        <w:pStyle w:val="Heading3"/>
        <w:spacing w:before="200" w:after="283"/>
        <w:rPr/>
      </w:pPr>
      <w:r>
        <w:rPr/>
        <w:t xml:space="preserve">🌍 </w:t>
      </w:r>
      <w:r>
        <w:rPr/>
        <w:t>ESG &amp; Carbon Credits – Monetizing Impact</w:t>
      </w:r>
    </w:p>
    <w:p>
      <w:pPr>
        <w:pStyle w:val="BodyText"/>
        <w:numPr>
          <w:ilvl w:val="0"/>
          <w:numId w:val="13"/>
        </w:numPr>
        <w:tabs>
          <w:tab w:val="clear" w:pos="720"/>
          <w:tab w:val="left" w:pos="0" w:leader="none"/>
        </w:tabs>
        <w:ind w:hanging="283" w:left="709"/>
        <w:rPr/>
      </w:pPr>
      <w:r>
        <w:rPr>
          <w:rStyle w:val="Strong"/>
        </w:rPr>
        <w:t>Carbon Market Growth</w:t>
      </w:r>
      <w:r>
        <w:rPr/>
        <w:t>: Voluntary carbon markets expected to reach €50 billion by 2030.</w:t>
      </w:r>
    </w:p>
    <w:p>
      <w:pPr>
        <w:pStyle w:val="BodyText"/>
        <w:numPr>
          <w:ilvl w:val="0"/>
          <w:numId w:val="13"/>
        </w:numPr>
        <w:tabs>
          <w:tab w:val="clear" w:pos="720"/>
          <w:tab w:val="left" w:pos="0" w:leader="none"/>
        </w:tabs>
        <w:ind w:hanging="283" w:left="709"/>
        <w:rPr/>
      </w:pPr>
      <w:r>
        <w:rPr>
          <w:rStyle w:val="Strong"/>
        </w:rPr>
        <w:t>Investor Appetite</w:t>
      </w:r>
      <w:r>
        <w:rPr/>
        <w:t>: ESG-aligned ventures are outperforming traditional portfolios.</w:t>
      </w:r>
    </w:p>
    <w:p>
      <w:pPr>
        <w:pStyle w:val="BodyText"/>
        <w:numPr>
          <w:ilvl w:val="0"/>
          <w:numId w:val="13"/>
        </w:numPr>
        <w:tabs>
          <w:tab w:val="clear" w:pos="720"/>
          <w:tab w:val="left" w:pos="0" w:leader="none"/>
        </w:tabs>
        <w:ind w:hanging="283" w:left="709"/>
        <w:rPr/>
      </w:pPr>
      <w:r>
        <w:rPr>
          <w:rStyle w:val="Strong"/>
        </w:rPr>
        <w:t>Terra Vita Edge</w:t>
      </w:r>
      <w:r>
        <w:rPr/>
        <w:t>:</w:t>
      </w:r>
    </w:p>
    <w:p>
      <w:pPr>
        <w:pStyle w:val="BodyText"/>
        <w:numPr>
          <w:ilvl w:val="1"/>
          <w:numId w:val="13"/>
        </w:numPr>
        <w:tabs>
          <w:tab w:val="clear" w:pos="720"/>
          <w:tab w:val="left" w:pos="0" w:leader="none"/>
        </w:tabs>
        <w:ind w:hanging="283" w:left="1418"/>
        <w:rPr/>
      </w:pPr>
      <w:r>
        <w:rPr/>
        <w:t>Carbon-negative by Year 2.</w:t>
      </w:r>
    </w:p>
    <w:p>
      <w:pPr>
        <w:pStyle w:val="BodyText"/>
        <w:numPr>
          <w:ilvl w:val="1"/>
          <w:numId w:val="13"/>
        </w:numPr>
        <w:tabs>
          <w:tab w:val="clear" w:pos="720"/>
          <w:tab w:val="left" w:pos="0" w:leader="none"/>
        </w:tabs>
        <w:ind w:hanging="283" w:left="1418"/>
        <w:rPr/>
      </w:pPr>
      <w:r>
        <w:rPr/>
        <w:t>Biodiversity and land restoration metrics (SDG 13, 15).</w:t>
      </w:r>
    </w:p>
    <w:p>
      <w:pPr>
        <w:pStyle w:val="BodyText"/>
        <w:numPr>
          <w:ilvl w:val="1"/>
          <w:numId w:val="13"/>
        </w:numPr>
        <w:tabs>
          <w:tab w:val="clear" w:pos="720"/>
          <w:tab w:val="left" w:pos="0" w:leader="none"/>
        </w:tabs>
        <w:ind w:hanging="283" w:left="1418"/>
        <w:rPr/>
      </w:pPr>
      <w:r>
        <w:rPr/>
        <w:t>Potential to monetize offsets and biodiversity credits.</w:t>
      </w:r>
    </w:p>
    <w:p>
      <w:pPr>
        <w:pStyle w:val="Heading3"/>
        <w:spacing w:before="200" w:after="283"/>
        <w:rPr/>
      </w:pPr>
      <w:r>
        <w:rPr/>
        <w:t xml:space="preserve">📍 </w:t>
      </w:r>
      <w:r>
        <w:rPr/>
        <w:t>Eastern Cape – Strategic Location</w:t>
      </w:r>
    </w:p>
    <w:p>
      <w:pPr>
        <w:pStyle w:val="BodyText"/>
        <w:numPr>
          <w:ilvl w:val="0"/>
          <w:numId w:val="14"/>
        </w:numPr>
        <w:tabs>
          <w:tab w:val="clear" w:pos="720"/>
          <w:tab w:val="left" w:pos="0" w:leader="none"/>
        </w:tabs>
        <w:ind w:hanging="283" w:left="709"/>
        <w:rPr/>
      </w:pPr>
      <w:r>
        <w:rPr>
          <w:rStyle w:val="Strong"/>
        </w:rPr>
        <w:t>Agro-Climatic Fit</w:t>
      </w:r>
      <w:r>
        <w:rPr/>
        <w:t>: Mediterranean-like conditions favor essential oil crops.</w:t>
      </w:r>
    </w:p>
    <w:p>
      <w:pPr>
        <w:pStyle w:val="BodyText"/>
        <w:numPr>
          <w:ilvl w:val="0"/>
          <w:numId w:val="14"/>
        </w:numPr>
        <w:tabs>
          <w:tab w:val="clear" w:pos="720"/>
          <w:tab w:val="left" w:pos="0" w:leader="none"/>
        </w:tabs>
        <w:ind w:hanging="283" w:left="709"/>
        <w:rPr/>
      </w:pPr>
      <w:r>
        <w:rPr>
          <w:rStyle w:val="Strong"/>
        </w:rPr>
        <w:t>Land Economics</w:t>
      </w:r>
      <w:r>
        <w:rPr/>
        <w:t>: Affordable acquisition costs with long-term scalability.</w:t>
      </w:r>
    </w:p>
    <w:p>
      <w:pPr>
        <w:pStyle w:val="BodyText"/>
        <w:numPr>
          <w:ilvl w:val="0"/>
          <w:numId w:val="14"/>
        </w:numPr>
        <w:tabs>
          <w:tab w:val="clear" w:pos="720"/>
          <w:tab w:val="left" w:pos="0" w:leader="none"/>
        </w:tabs>
        <w:ind w:hanging="283" w:left="709"/>
        <w:rPr/>
      </w:pPr>
      <w:r>
        <w:rPr>
          <w:rStyle w:val="Strong"/>
        </w:rPr>
        <w:t>Community Synergy</w:t>
      </w:r>
      <w:r>
        <w:rPr/>
        <w:t>: High potential for job creation, training, and local sourcing.</w:t>
      </w:r>
    </w:p>
    <w:p>
      <w:pPr>
        <w:pStyle w:val="Heading3"/>
        <w:spacing w:before="200" w:after="283"/>
        <w:rPr/>
      </w:pPr>
      <w:r>
        <w:rPr/>
        <w:t xml:space="preserve">🧠 </w:t>
      </w:r>
      <w:r>
        <w:rPr/>
        <w:t>Investor Takeaway</w:t>
      </w:r>
    </w:p>
    <w:p>
      <w:pPr>
        <w:pStyle w:val="BodyText"/>
        <w:rPr/>
      </w:pPr>
      <w:r>
        <w:rPr/>
        <w:t>Terra Vita is positioned to ride three converging waves: the rise of regenerative wellness, the demand for authentic eco-hospitality, and the monetization of ESG impact. Its pre-launch status offers first-mover advantage in a region ripe for transformation.</w:t>
      </w:r>
    </w:p>
    <w:p>
      <w:pPr>
        <w:pStyle w:val="Normal"/>
        <w:rPr/>
      </w:pPr>
      <w:r>
        <w:rPr/>
        <w:t>.</w:t>
      </w:r>
    </w:p>
    <w:p>
      <w:pPr>
        <w:pStyle w:val="Normal"/>
        <w:rPr/>
      </w:pPr>
      <w:r>
        <w:rPr/>
      </w:r>
      <w:r>
        <w:br w:type="page"/>
      </w:r>
    </w:p>
    <w:p>
      <w:pPr>
        <w:pStyle w:val="Heading1"/>
        <w:spacing w:before="0" w:after="0"/>
        <w:rPr/>
      </w:pPr>
      <w:r>
        <w:rPr/>
        <w:t>Business Model</w:t>
      </w:r>
    </w:p>
    <w:p>
      <w:pPr>
        <w:pStyle w:val="BodyText"/>
        <w:rPr/>
      </w:pPr>
      <w:r>
        <w:rPr/>
        <w:t>Terra Vita’s business model is built on a triple-convergent architecture—regenerative agriculture, essential oils, and eco-hospitality—each reinforcing the others through shared infrastructure, storytelling, and ESG monetization. This “Golden Triangle” creates diversified revenue, emotional resonance, and long-term scalability.</w:t>
      </w:r>
    </w:p>
    <w:p>
      <w:pPr>
        <w:pStyle w:val="Heading3"/>
        <w:spacing w:before="200" w:after="283"/>
        <w:rPr/>
      </w:pPr>
      <w:r>
        <w:rPr/>
        <w:t xml:space="preserve">🔺 </w:t>
      </w:r>
      <w:r>
        <w:rPr/>
        <w:t>Revenue Streams</w:t>
      </w:r>
    </w:p>
    <w:tbl>
      <w:tblPr>
        <w:tblW w:w="8640" w:type="dxa"/>
        <w:jc w:val="left"/>
        <w:tblInd w:w="28" w:type="dxa"/>
        <w:tblLayout w:type="fixed"/>
        <w:tblCellMar>
          <w:top w:w="28" w:type="dxa"/>
          <w:left w:w="28" w:type="dxa"/>
          <w:bottom w:w="28" w:type="dxa"/>
          <w:right w:w="28" w:type="dxa"/>
        </w:tblCellMar>
      </w:tblPr>
      <w:tblGrid>
        <w:gridCol w:w="1714"/>
        <w:gridCol w:w="3655"/>
        <w:gridCol w:w="3271"/>
      </w:tblGrid>
      <w:tr>
        <w:trPr>
          <w:tblHeader w:val="true"/>
        </w:trPr>
        <w:tc>
          <w:tcPr>
            <w:tcW w:w="1714" w:type="dxa"/>
            <w:tcBorders/>
            <w:vAlign w:val="center"/>
          </w:tcPr>
          <w:p>
            <w:pPr>
              <w:pStyle w:val="Tabelkop"/>
              <w:suppressLineNumbers/>
              <w:spacing w:before="0" w:after="200"/>
              <w:jc w:val="center"/>
              <w:rPr/>
            </w:pPr>
            <w:r>
              <w:rPr/>
              <w:t>Pillar</w:t>
            </w:r>
          </w:p>
        </w:tc>
        <w:tc>
          <w:tcPr>
            <w:tcW w:w="3655" w:type="dxa"/>
            <w:tcBorders/>
            <w:vAlign w:val="center"/>
          </w:tcPr>
          <w:p>
            <w:pPr>
              <w:pStyle w:val="Tabelkop"/>
              <w:suppressLineNumbers/>
              <w:spacing w:before="0" w:after="200"/>
              <w:jc w:val="center"/>
              <w:rPr/>
            </w:pPr>
            <w:r>
              <w:rPr/>
              <w:t>Description</w:t>
            </w:r>
          </w:p>
        </w:tc>
        <w:tc>
          <w:tcPr>
            <w:tcW w:w="3271" w:type="dxa"/>
            <w:tcBorders/>
            <w:vAlign w:val="center"/>
          </w:tcPr>
          <w:p>
            <w:pPr>
              <w:pStyle w:val="Tabelkop"/>
              <w:suppressLineNumbers/>
              <w:spacing w:before="0" w:after="200"/>
              <w:jc w:val="center"/>
              <w:rPr/>
            </w:pPr>
            <w:r>
              <w:rPr/>
              <w:t>Monetization Logic</w:t>
            </w:r>
          </w:p>
        </w:tc>
      </w:tr>
      <w:tr>
        <w:trPr/>
        <w:tc>
          <w:tcPr>
            <w:tcW w:w="1714" w:type="dxa"/>
            <w:tcBorders/>
            <w:vAlign w:val="center"/>
          </w:tcPr>
          <w:p>
            <w:pPr>
              <w:pStyle w:val="Inhoudtabel"/>
              <w:widowControl w:val="false"/>
              <w:suppressLineNumbers/>
              <w:spacing w:before="0" w:after="200"/>
              <w:rPr/>
            </w:pPr>
            <w:r>
              <w:rPr>
                <w:rStyle w:val="Strong"/>
              </w:rPr>
              <w:t>Hospitality</w:t>
            </w:r>
          </w:p>
        </w:tc>
        <w:tc>
          <w:tcPr>
            <w:tcW w:w="3655" w:type="dxa"/>
            <w:tcBorders/>
            <w:vAlign w:val="center"/>
          </w:tcPr>
          <w:p>
            <w:pPr>
              <w:pStyle w:val="Inhoudtabel"/>
              <w:widowControl w:val="false"/>
              <w:suppressLineNumbers/>
              <w:spacing w:before="0" w:after="200"/>
              <w:rPr/>
            </w:pPr>
            <w:r>
              <w:rPr/>
              <w:t>Boutique B&amp;B, mindset retreats, pet wellness modules</w:t>
            </w:r>
          </w:p>
        </w:tc>
        <w:tc>
          <w:tcPr>
            <w:tcW w:w="3271" w:type="dxa"/>
            <w:tcBorders/>
            <w:vAlign w:val="center"/>
          </w:tcPr>
          <w:p>
            <w:pPr>
              <w:pStyle w:val="Inhoudtabel"/>
              <w:widowControl w:val="false"/>
              <w:suppressLineNumbers/>
              <w:spacing w:before="0" w:after="200"/>
              <w:rPr/>
            </w:pPr>
            <w:r>
              <w:rPr/>
              <w:t>Room nights, retreat fees, workshop packages</w:t>
            </w:r>
          </w:p>
        </w:tc>
      </w:tr>
      <w:tr>
        <w:trPr/>
        <w:tc>
          <w:tcPr>
            <w:tcW w:w="1714" w:type="dxa"/>
            <w:tcBorders/>
            <w:vAlign w:val="center"/>
          </w:tcPr>
          <w:p>
            <w:pPr>
              <w:pStyle w:val="Inhoudtabel"/>
              <w:widowControl w:val="false"/>
              <w:suppressLineNumbers/>
              <w:spacing w:before="0" w:after="200"/>
              <w:rPr/>
            </w:pPr>
            <w:r>
              <w:rPr>
                <w:rStyle w:val="Strong"/>
              </w:rPr>
              <w:t>Agriculture</w:t>
            </w:r>
          </w:p>
        </w:tc>
        <w:tc>
          <w:tcPr>
            <w:tcW w:w="3655" w:type="dxa"/>
            <w:tcBorders/>
            <w:vAlign w:val="center"/>
          </w:tcPr>
          <w:p>
            <w:pPr>
              <w:pStyle w:val="Inhoudtabel"/>
              <w:widowControl w:val="false"/>
              <w:suppressLineNumbers/>
              <w:spacing w:before="0" w:after="200"/>
              <w:rPr/>
            </w:pPr>
            <w:r>
              <w:rPr/>
              <w:t>Cultivation of lavender, peppermint, lemongrass</w:t>
            </w:r>
          </w:p>
        </w:tc>
        <w:tc>
          <w:tcPr>
            <w:tcW w:w="3271" w:type="dxa"/>
            <w:tcBorders/>
            <w:vAlign w:val="center"/>
          </w:tcPr>
          <w:p>
            <w:pPr>
              <w:pStyle w:val="Inhoudtabel"/>
              <w:widowControl w:val="false"/>
              <w:suppressLineNumbers/>
              <w:spacing w:before="0" w:after="200"/>
              <w:rPr/>
            </w:pPr>
            <w:r>
              <w:rPr/>
              <w:t>Essential oil sales (bulk &amp; retail), agri-tours</w:t>
            </w:r>
          </w:p>
        </w:tc>
      </w:tr>
      <w:tr>
        <w:trPr/>
        <w:tc>
          <w:tcPr>
            <w:tcW w:w="1714" w:type="dxa"/>
            <w:tcBorders/>
            <w:vAlign w:val="center"/>
          </w:tcPr>
          <w:p>
            <w:pPr>
              <w:pStyle w:val="Inhoudtabel"/>
              <w:widowControl w:val="false"/>
              <w:suppressLineNumbers/>
              <w:spacing w:before="0" w:after="200"/>
              <w:rPr/>
            </w:pPr>
            <w:r>
              <w:rPr>
                <w:rStyle w:val="Strong"/>
              </w:rPr>
              <w:t>ESG Monetization</w:t>
            </w:r>
          </w:p>
        </w:tc>
        <w:tc>
          <w:tcPr>
            <w:tcW w:w="3655" w:type="dxa"/>
            <w:tcBorders/>
            <w:vAlign w:val="center"/>
          </w:tcPr>
          <w:p>
            <w:pPr>
              <w:pStyle w:val="Inhoudtabel"/>
              <w:widowControl w:val="false"/>
              <w:suppressLineNumbers/>
              <w:spacing w:before="0" w:after="200"/>
              <w:rPr/>
            </w:pPr>
            <w:r>
              <w:rPr/>
              <w:t>Carbon credits, biodiversity offsets, SDG-aligned impact</w:t>
            </w:r>
          </w:p>
        </w:tc>
        <w:tc>
          <w:tcPr>
            <w:tcW w:w="3271" w:type="dxa"/>
            <w:tcBorders/>
            <w:vAlign w:val="center"/>
          </w:tcPr>
          <w:p>
            <w:pPr>
              <w:pStyle w:val="Inhoudtabel"/>
              <w:widowControl w:val="false"/>
              <w:suppressLineNumbers/>
              <w:spacing w:before="0" w:after="200"/>
              <w:rPr/>
            </w:pPr>
            <w:r>
              <w:rPr/>
              <w:t>Voluntary carbon markets, ESG-linked funding</w:t>
            </w:r>
          </w:p>
        </w:tc>
      </w:tr>
    </w:tbl>
    <w:p>
      <w:pPr>
        <w:pStyle w:val="BodyText"/>
        <w:rPr/>
      </w:pPr>
      <w:r>
        <w:t>Each revenue stream is asset-secured, ESG-aligned, and designed to resonate emotionally with guests and investors. Together, they form a regenerative loop—where agriculture fuels hospitality, hospitality amplifies storytelling, and ESG monetization validates impact.</w:t>
      </w:r>
    </w:p>
    <w:p>
      <w:pPr>
        <w:pStyle w:val="Heading3"/>
        <w:spacing w:before="200" w:after="283"/>
        <w:rPr/>
      </w:pPr>
      <w:r>
        <w:rPr/>
        <w:t xml:space="preserve">🧭 </w:t>
      </w:r>
      <w:r>
        <w:rPr/>
        <w:t>Strategic Integration</w:t>
      </w:r>
    </w:p>
    <w:p>
      <w:pPr>
        <w:pStyle w:val="BodyText"/>
        <w:numPr>
          <w:ilvl w:val="0"/>
          <w:numId w:val="15"/>
        </w:numPr>
        <w:tabs>
          <w:tab w:val="clear" w:pos="720"/>
          <w:tab w:val="left" w:pos="0" w:leader="none"/>
        </w:tabs>
        <w:ind w:hanging="283" w:left="709"/>
        <w:rPr/>
      </w:pPr>
      <w:r>
        <w:rPr>
          <w:rStyle w:val="Strong"/>
        </w:rPr>
        <w:t>Shared Infrastructure</w:t>
      </w:r>
      <w:r>
        <w:rPr/>
        <w:t>: Land, water, and facilities serve all three pillars.</w:t>
      </w:r>
    </w:p>
    <w:p>
      <w:pPr>
        <w:pStyle w:val="BodyText"/>
        <w:numPr>
          <w:ilvl w:val="0"/>
          <w:numId w:val="15"/>
        </w:numPr>
        <w:tabs>
          <w:tab w:val="clear" w:pos="720"/>
          <w:tab w:val="left" w:pos="0" w:leader="none"/>
        </w:tabs>
        <w:ind w:hanging="283" w:left="709"/>
        <w:rPr/>
      </w:pPr>
      <w:r>
        <w:rPr>
          <w:rStyle w:val="Strong"/>
        </w:rPr>
        <w:t>Cross-Selling</w:t>
      </w:r>
      <w:r>
        <w:rPr/>
        <w:t>: Retreat guests purchase oils; workshop attendees engage with farming.</w:t>
      </w:r>
    </w:p>
    <w:p>
      <w:pPr>
        <w:pStyle w:val="BodyText"/>
        <w:numPr>
          <w:ilvl w:val="0"/>
          <w:numId w:val="15"/>
        </w:numPr>
        <w:tabs>
          <w:tab w:val="clear" w:pos="720"/>
          <w:tab w:val="left" w:pos="0" w:leader="none"/>
        </w:tabs>
        <w:ind w:hanging="283" w:left="709"/>
        <w:rPr/>
      </w:pPr>
      <w:r>
        <w:rPr>
          <w:rStyle w:val="Strong"/>
        </w:rPr>
        <w:t>Brand Storytelling</w:t>
      </w:r>
      <w:r>
        <w:rPr/>
        <w:t>: Unified narrative of healing land, lives, and legacy.</w:t>
      </w:r>
    </w:p>
    <w:p>
      <w:pPr>
        <w:pStyle w:val="Heading3"/>
        <w:spacing w:before="200" w:after="283"/>
        <w:rPr/>
      </w:pPr>
      <w:r>
        <w:rPr/>
        <w:t xml:space="preserve">📊 </w:t>
      </w:r>
      <w:r>
        <w:rPr/>
        <w:t>Financial Logic</w:t>
      </w:r>
    </w:p>
    <w:p>
      <w:pPr>
        <w:pStyle w:val="BodyText"/>
        <w:numPr>
          <w:ilvl w:val="0"/>
          <w:numId w:val="16"/>
        </w:numPr>
        <w:tabs>
          <w:tab w:val="clear" w:pos="720"/>
          <w:tab w:val="left" w:pos="0" w:leader="none"/>
        </w:tabs>
        <w:ind w:hanging="283" w:left="709"/>
        <w:rPr/>
      </w:pPr>
      <w:r>
        <w:rPr>
          <w:rStyle w:val="Strong"/>
        </w:rPr>
        <w:t>Seed Allocation</w:t>
      </w:r>
      <w:r>
        <w:rPr/>
        <w:t>: €350,000</w:t>
      </w:r>
    </w:p>
    <w:p>
      <w:pPr>
        <w:pStyle w:val="BodyText"/>
        <w:numPr>
          <w:ilvl w:val="1"/>
          <w:numId w:val="16"/>
        </w:numPr>
        <w:tabs>
          <w:tab w:val="clear" w:pos="720"/>
          <w:tab w:val="left" w:pos="0" w:leader="none"/>
        </w:tabs>
        <w:ind w:hanging="283" w:left="1418"/>
        <w:rPr/>
      </w:pPr>
      <w:r>
        <w:rPr/>
        <w:t>Land: 62.9% (€220k)</w:t>
      </w:r>
    </w:p>
    <w:p>
      <w:pPr>
        <w:pStyle w:val="BodyText"/>
        <w:numPr>
          <w:ilvl w:val="1"/>
          <w:numId w:val="16"/>
        </w:numPr>
        <w:tabs>
          <w:tab w:val="clear" w:pos="720"/>
          <w:tab w:val="left" w:pos="0" w:leader="none"/>
        </w:tabs>
        <w:ind w:hanging="283" w:left="1418"/>
        <w:rPr/>
      </w:pPr>
      <w:r>
        <w:rPr/>
        <w:t>CAPEX: 22.9% (€80k)</w:t>
      </w:r>
    </w:p>
    <w:p>
      <w:pPr>
        <w:pStyle w:val="BodyText"/>
        <w:numPr>
          <w:ilvl w:val="1"/>
          <w:numId w:val="16"/>
        </w:numPr>
        <w:tabs>
          <w:tab w:val="clear" w:pos="720"/>
          <w:tab w:val="left" w:pos="0" w:leader="none"/>
        </w:tabs>
        <w:ind w:hanging="283" w:left="1418"/>
        <w:rPr/>
      </w:pPr>
      <w:r>
        <w:rPr/>
        <w:t>OPEX &amp; Branding: 14.2% (€50k)</w:t>
      </w:r>
    </w:p>
    <w:p>
      <w:pPr>
        <w:pStyle w:val="BodyText"/>
        <w:numPr>
          <w:ilvl w:val="0"/>
          <w:numId w:val="16"/>
        </w:numPr>
        <w:tabs>
          <w:tab w:val="clear" w:pos="720"/>
          <w:tab w:val="left" w:pos="0" w:leader="none"/>
        </w:tabs>
        <w:ind w:hanging="283" w:left="709"/>
        <w:rPr/>
      </w:pPr>
      <w:r>
        <w:rPr>
          <w:rStyle w:val="Strong"/>
        </w:rPr>
        <w:t>IRR</w:t>
      </w:r>
      <w:r>
        <w:rPr/>
        <w:t>: 22%</w:t>
      </w:r>
    </w:p>
    <w:p>
      <w:pPr>
        <w:pStyle w:val="BodyText"/>
        <w:numPr>
          <w:ilvl w:val="0"/>
          <w:numId w:val="16"/>
        </w:numPr>
        <w:tabs>
          <w:tab w:val="clear" w:pos="720"/>
          <w:tab w:val="left" w:pos="0" w:leader="none"/>
        </w:tabs>
        <w:ind w:hanging="283" w:left="709"/>
        <w:rPr/>
      </w:pPr>
      <w:r>
        <w:rPr>
          <w:rStyle w:val="Strong"/>
        </w:rPr>
        <w:t>ROI (Year 5)</w:t>
      </w:r>
      <w:r>
        <w:rPr/>
        <w:t>: 2.8×</w:t>
      </w:r>
    </w:p>
    <w:p>
      <w:pPr>
        <w:pStyle w:val="BodyText"/>
        <w:numPr>
          <w:ilvl w:val="0"/>
          <w:numId w:val="16"/>
        </w:numPr>
        <w:tabs>
          <w:tab w:val="clear" w:pos="720"/>
          <w:tab w:val="left" w:pos="0" w:leader="none"/>
        </w:tabs>
        <w:ind w:hanging="283" w:left="709"/>
        <w:rPr/>
      </w:pPr>
      <w:r>
        <w:rPr>
          <w:rStyle w:val="Strong"/>
        </w:rPr>
        <w:t>Payback</w:t>
      </w:r>
      <w:r>
        <w:rPr/>
        <w:t>: &lt; 2 years</w:t>
      </w:r>
    </w:p>
    <w:p>
      <w:pPr>
        <w:pStyle w:val="Heading3"/>
        <w:spacing w:before="200" w:after="283"/>
        <w:rPr/>
      </w:pPr>
      <w:r>
        <w:rPr/>
        <w:t xml:space="preserve">🌍 </w:t>
      </w:r>
      <w:r>
        <w:rPr/>
        <w:t>ESG &amp; SDG Integration</w:t>
      </w:r>
    </w:p>
    <w:p>
      <w:pPr>
        <w:pStyle w:val="BodyText"/>
        <w:numPr>
          <w:ilvl w:val="0"/>
          <w:numId w:val="17"/>
        </w:numPr>
        <w:tabs>
          <w:tab w:val="clear" w:pos="720"/>
          <w:tab w:val="left" w:pos="0" w:leader="none"/>
        </w:tabs>
        <w:ind w:hanging="283" w:left="709"/>
        <w:rPr/>
      </w:pPr>
      <w:r>
        <w:rPr>
          <w:rStyle w:val="Strong"/>
        </w:rPr>
        <w:t>Jobs</w:t>
      </w:r>
      <w:r>
        <w:rPr/>
        <w:t>: 10 → 20 (SDG 8)</w:t>
      </w:r>
    </w:p>
    <w:p>
      <w:pPr>
        <w:pStyle w:val="BodyText"/>
        <w:numPr>
          <w:ilvl w:val="0"/>
          <w:numId w:val="17"/>
        </w:numPr>
        <w:tabs>
          <w:tab w:val="clear" w:pos="720"/>
          <w:tab w:val="left" w:pos="0" w:leader="none"/>
        </w:tabs>
        <w:ind w:hanging="283" w:left="709"/>
        <w:rPr/>
      </w:pPr>
      <w:r>
        <w:rPr>
          <w:rStyle w:val="Strong"/>
        </w:rPr>
        <w:t>Land Restoration</w:t>
      </w:r>
      <w:r>
        <w:rPr/>
        <w:t>: 2 → 5 ha (SDG 15)</w:t>
      </w:r>
    </w:p>
    <w:p>
      <w:pPr>
        <w:pStyle w:val="BodyText"/>
        <w:numPr>
          <w:ilvl w:val="0"/>
          <w:numId w:val="17"/>
        </w:numPr>
        <w:tabs>
          <w:tab w:val="clear" w:pos="720"/>
          <w:tab w:val="left" w:pos="0" w:leader="none"/>
        </w:tabs>
        <w:ind w:hanging="283" w:left="709"/>
        <w:rPr/>
      </w:pPr>
      <w:r>
        <w:rPr>
          <w:rStyle w:val="Strong"/>
        </w:rPr>
        <w:t>Carbon Negative</w:t>
      </w:r>
      <w:r>
        <w:rPr/>
        <w:t>: Achieved by Year 2 (SDG 13)</w:t>
      </w:r>
    </w:p>
    <w:p>
      <w:pPr>
        <w:pStyle w:val="BodyText"/>
        <w:numPr>
          <w:ilvl w:val="0"/>
          <w:numId w:val="17"/>
        </w:numPr>
        <w:tabs>
          <w:tab w:val="clear" w:pos="720"/>
          <w:tab w:val="left" w:pos="0" w:leader="none"/>
        </w:tabs>
        <w:ind w:hanging="283" w:left="709"/>
        <w:rPr/>
      </w:pPr>
      <w:r>
        <w:rPr>
          <w:rStyle w:val="Strong"/>
        </w:rPr>
        <w:t>Community Workshops</w:t>
      </w:r>
      <w:r>
        <w:rPr/>
        <w:t>: 3/year (SDG 4)</w:t>
      </w:r>
    </w:p>
    <w:p>
      <w:pPr>
        <w:pStyle w:val="Heading3"/>
        <w:spacing w:before="200" w:after="283"/>
        <w:rPr/>
      </w:pPr>
      <w:r>
        <w:rPr/>
        <w:t xml:space="preserve">🧠 </w:t>
      </w:r>
      <w:r>
        <w:rPr/>
        <w:t>Investor Takeaway</w:t>
      </w:r>
    </w:p>
    <w:p>
      <w:pPr>
        <w:pStyle w:val="BodyText"/>
        <w:rPr/>
      </w:pPr>
      <w:r>
        <w:rPr/>
        <w:t>Terra Vita’s model is not linear—it’s regenerative. Each euro invested activates multiple outcomes: revenue, impact, and emotional connection. The business is designed to scale regionally, replicate globally, and remain rooted in trust and transparency.</w:t>
      </w:r>
    </w:p>
    <w:p>
      <w:pPr>
        <w:pStyle w:val="BodyText"/>
        <w:rPr/>
      </w:pPr>
      <w:r>
        <w:rPr/>
      </w:r>
    </w:p>
    <w:p>
      <w:pPr>
        <w:pStyle w:val="BodyText"/>
        <w:rPr/>
      </w:pPr>
      <w:r>
        <w:rPr>
          <w:rStyle w:val="Strong"/>
        </w:rPr>
        <w:t>Terra Vita Investor Pathway</w:t>
      </w:r>
      <w:r>
        <w:rPr/>
        <w:t xml:space="preserve"> </w:t>
      </w:r>
    </w:p>
    <w:p>
      <w:pPr>
        <w:pStyle w:val="BodyText"/>
        <w:rPr/>
      </w:pPr>
      <w:r>
        <w:rPr/>
        <w:t xml:space="preserve">To help investors visualize how each funding structure activates Terra Vita’s regenerative model, the following pathway maps entry logic to operational milestones, ESG monetization, and long-term returns. Whether equity-only, blended, or staged—each route leads to tangible impact and financial clarity. </w:t>
      </w:r>
    </w:p>
    <w:p>
      <w:pPr>
        <w:pStyle w:val="Heading2"/>
        <w:rPr/>
      </w:pPr>
      <w:r>
        <w:rPr/>
        <w:t xml:space="preserve">🔬 </w:t>
      </w:r>
      <w:r>
        <w:rPr/>
        <w:t>Methodology</w:t>
      </w:r>
    </w:p>
    <w:p>
      <w:pPr>
        <w:pStyle w:val="BodyText"/>
        <w:rPr/>
      </w:pPr>
      <w:r>
        <w:rPr/>
        <w:t>The Terra Vita Investor Pathway visual is modeled from the three funding structures presented in Annex E—Equity Only, Blended, and Staged. Each pathway reflects pre-launch assumptions, IRR sensitivity modeling (Annex B), and operational feasibility (Annex A). The visual maps investor entry logic to activation milestones, ESG monetization, and long-term returns.</w:t>
      </w:r>
    </w:p>
    <w:p>
      <w:pPr>
        <w:pStyle w:val="BodyText"/>
        <w:rPr/>
      </w:pPr>
      <w:r>
        <w:rPr/>
        <w:t>Data sources include:</w:t>
      </w:r>
    </w:p>
    <w:p>
      <w:pPr>
        <w:pStyle w:val="BodyText"/>
        <w:numPr>
          <w:ilvl w:val="0"/>
          <w:numId w:val="29"/>
        </w:numPr>
        <w:tabs>
          <w:tab w:val="clear" w:pos="720"/>
          <w:tab w:val="left" w:pos="0" w:leader="none"/>
        </w:tabs>
        <w:ind w:hanging="283" w:left="709"/>
        <w:rPr/>
      </w:pPr>
      <w:r>
        <w:rPr/>
        <w:t>Internal financial models (Annex A)</w:t>
      </w:r>
    </w:p>
    <w:p>
      <w:pPr>
        <w:pStyle w:val="BodyText"/>
        <w:numPr>
          <w:ilvl w:val="0"/>
          <w:numId w:val="29"/>
        </w:numPr>
        <w:tabs>
          <w:tab w:val="clear" w:pos="720"/>
          <w:tab w:val="left" w:pos="0" w:leader="none"/>
        </w:tabs>
        <w:ind w:hanging="283" w:left="709"/>
        <w:rPr/>
      </w:pPr>
      <w:r>
        <w:rPr/>
        <w:t>IRR sensitivity scenarios (Annex B)</w:t>
      </w:r>
    </w:p>
    <w:p>
      <w:pPr>
        <w:pStyle w:val="BodyText"/>
        <w:numPr>
          <w:ilvl w:val="0"/>
          <w:numId w:val="29"/>
        </w:numPr>
        <w:tabs>
          <w:tab w:val="clear" w:pos="720"/>
          <w:tab w:val="left" w:pos="0" w:leader="none"/>
        </w:tabs>
        <w:ind w:hanging="283" w:left="709"/>
        <w:rPr/>
      </w:pPr>
      <w:r>
        <w:rPr/>
        <w:t>ESG impact metrics (Annex C, G)</w:t>
      </w:r>
    </w:p>
    <w:p>
      <w:pPr>
        <w:pStyle w:val="BodyText"/>
        <w:numPr>
          <w:ilvl w:val="0"/>
          <w:numId w:val="29"/>
        </w:numPr>
        <w:tabs>
          <w:tab w:val="clear" w:pos="720"/>
          <w:tab w:val="left" w:pos="0" w:leader="none"/>
        </w:tabs>
        <w:ind w:hanging="283" w:left="709"/>
        <w:rPr/>
      </w:pPr>
      <w:r>
        <w:rPr/>
        <w:t>Funding logic and structures (Annex E)</w:t>
      </w:r>
    </w:p>
    <w:p>
      <w:pPr>
        <w:pStyle w:val="BodyText"/>
        <w:numPr>
          <w:ilvl w:val="0"/>
          <w:numId w:val="29"/>
        </w:numPr>
        <w:tabs>
          <w:tab w:val="clear" w:pos="720"/>
          <w:tab w:val="left" w:pos="0" w:leader="none"/>
        </w:tabs>
        <w:ind w:hanging="283" w:left="709"/>
        <w:rPr/>
      </w:pPr>
      <w:r>
        <w:rPr/>
        <w:t>Carbon offset calculators and agroforestry benchmarks</w:t>
      </w:r>
    </w:p>
    <w:p>
      <w:pPr>
        <w:pStyle w:val="BodyText"/>
        <w:rPr/>
      </w:pPr>
      <w:r>
        <w:rPr/>
      </w:r>
    </w:p>
    <w:p>
      <w:pPr>
        <w:pStyle w:val="BodyText"/>
        <w:rPr>
          <w:b/>
          <w:bCs/>
        </w:rPr>
      </w:pPr>
      <w:r>
        <w:rPr>
          <w:b/>
          <w:bCs/>
        </w:rPr>
        <w:t>Modelled Investor-pathway</w:t>
      </w:r>
    </w:p>
    <w:p>
      <w:pPr>
        <w:pStyle w:val="BodyText"/>
        <w:rPr/>
      </w:pPr>
      <w:r>
        <w:rPr/>
        <w:t>The visual is designed to be modular, investor-facing, and emotionally resonant—reinforcing Terra Vita’s governance maturity and transparency.</w:t>
      </w:r>
    </w:p>
    <w:p>
      <w:pPr>
        <w:pStyle w:val="BodyText"/>
        <w:rPr/>
      </w:pPr>
      <w:r>
        <w:rPr/>
      </w:r>
    </w:p>
    <w:p>
      <w:pPr>
        <w:pStyle w:val="BodyText"/>
        <w:rPr/>
      </w:pPr>
      <w:r>
        <w:rPr/>
        <w:drawing>
          <wp:anchor behindDoc="0" distT="0" distB="0" distL="0" distR="0" simplePos="0" locked="0" layoutInCell="0" allowOverlap="1" relativeHeight="38">
            <wp:simplePos x="0" y="0"/>
            <wp:positionH relativeFrom="column">
              <wp:align>center</wp:align>
            </wp:positionH>
            <wp:positionV relativeFrom="paragraph">
              <wp:posOffset>635</wp:posOffset>
            </wp:positionV>
            <wp:extent cx="4716780" cy="5842000"/>
            <wp:effectExtent l="0" t="0" r="0" b="0"/>
            <wp:wrapSquare wrapText="largest"/>
            <wp:docPr id="3" name="Afbeelding5"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Afbeelding5" descr=""/>
                    <pic:cNvPicPr>
                      <a:picLocks noChangeAspect="1" noChangeArrowheads="1"/>
                    </pic:cNvPicPr>
                  </pic:nvPicPr>
                  <pic:blipFill>
                    <a:blip r:embed="rId4"/>
                    <a:stretch>
                      <a:fillRect/>
                    </a:stretch>
                  </pic:blipFill>
                  <pic:spPr bwMode="auto">
                    <a:xfrm>
                      <a:off x="0" y="0"/>
                      <a:ext cx="4716780" cy="5842000"/>
                    </a:xfrm>
                    <a:prstGeom prst="rect">
                      <a:avLst/>
                    </a:prstGeom>
                  </pic:spPr>
                </pic:pic>
              </a:graphicData>
            </a:graphic>
          </wp:anchor>
        </w:drawing>
      </w:r>
    </w:p>
    <w:p>
      <w:pPr>
        <w:pStyle w:val="Heading2"/>
        <w:spacing w:before="200" w:after="283"/>
        <w:rPr/>
      </w:pPr>
      <w:r>
        <w:rPr/>
      </w:r>
    </w:p>
    <w:p>
      <w:pPr>
        <w:pStyle w:val="Heading2"/>
        <w:spacing w:before="200" w:after="283"/>
        <w:rPr/>
      </w:pPr>
      <w:r>
        <w:rPr/>
      </w:r>
    </w:p>
    <w:p>
      <w:pPr>
        <w:pStyle w:val="Heading2"/>
        <w:spacing w:before="200" w:after="283"/>
        <w:rPr/>
      </w:pPr>
      <w:r>
        <w:rPr/>
      </w:r>
    </w:p>
    <w:p>
      <w:pPr>
        <w:pStyle w:val="Heading2"/>
        <w:spacing w:before="200" w:after="283"/>
        <w:rPr/>
      </w:pPr>
      <w:r>
        <w:rPr/>
      </w:r>
    </w:p>
    <w:p>
      <w:pPr>
        <w:pStyle w:val="Heading2"/>
        <w:spacing w:before="200" w:after="283"/>
        <w:rPr/>
      </w:pPr>
      <w:r>
        <w:rPr/>
      </w:r>
    </w:p>
    <w:p>
      <w:pPr>
        <w:pStyle w:val="Heading2"/>
        <w:spacing w:before="200" w:after="283"/>
        <w:rPr/>
      </w:pPr>
      <w:r>
        <w:rPr/>
      </w:r>
    </w:p>
    <w:p>
      <w:pPr>
        <w:pStyle w:val="Heading2"/>
        <w:spacing w:before="200" w:after="283"/>
        <w:rPr/>
      </w:pPr>
      <w:r>
        <w:rPr/>
      </w:r>
    </w:p>
    <w:p>
      <w:pPr>
        <w:pStyle w:val="Heading2"/>
        <w:spacing w:before="200" w:after="283"/>
        <w:rPr/>
      </w:pPr>
      <w:r>
        <w:rPr/>
      </w:r>
    </w:p>
    <w:p>
      <w:pPr>
        <w:pStyle w:val="Heading2"/>
        <w:spacing w:before="200" w:after="283"/>
        <w:rPr/>
      </w:pPr>
      <w:r>
        <w:rPr/>
      </w:r>
    </w:p>
    <w:p>
      <w:pPr>
        <w:pStyle w:val="Heading2"/>
        <w:spacing w:before="200" w:after="283"/>
        <w:rPr/>
      </w:pPr>
      <w:r>
        <w:rPr/>
      </w:r>
    </w:p>
    <w:p>
      <w:pPr>
        <w:pStyle w:val="Heading2"/>
        <w:spacing w:before="200" w:after="283"/>
        <w:rPr/>
      </w:pPr>
      <w:r>
        <w:rPr/>
      </w:r>
    </w:p>
    <w:p>
      <w:pPr>
        <w:pStyle w:val="Heading2"/>
        <w:spacing w:before="200" w:after="283"/>
        <w:rPr/>
      </w:pPr>
      <w:r>
        <w:rPr/>
      </w:r>
    </w:p>
    <w:p>
      <w:pPr>
        <w:pStyle w:val="Heading2"/>
        <w:spacing w:before="200" w:after="283"/>
        <w:rPr/>
      </w:pPr>
      <w:r>
        <w:rPr/>
      </w:r>
    </w:p>
    <w:p>
      <w:pPr>
        <w:pStyle w:val="Heading2"/>
        <w:spacing w:before="200" w:after="283"/>
        <w:rPr/>
      </w:pPr>
      <w:r>
        <w:rPr/>
      </w:r>
    </w:p>
    <w:p>
      <w:pPr>
        <w:pStyle w:val="BodyText"/>
        <w:rPr/>
      </w:pPr>
      <w:r>
        <w:rPr>
          <w:rStyle w:val="Emphasis"/>
        </w:rPr>
        <w:t>Modular funding structures mapped to activation, monetization, and impact outcomes.</w:t>
      </w:r>
      <w:r>
        <w:rPr/>
        <w:t xml:space="preserve"> </w:t>
      </w:r>
    </w:p>
    <w:p>
      <w:pPr>
        <w:pStyle w:val="Heading2"/>
        <w:spacing w:before="200" w:after="283"/>
        <w:rPr/>
      </w:pPr>
      <w:r>
        <w:rPr/>
        <w:t xml:space="preserve">🎯 </w:t>
      </w:r>
      <w:r>
        <w:rPr/>
        <w:t>Key View</w:t>
      </w:r>
    </w:p>
    <w:p>
      <w:pPr>
        <w:pStyle w:val="BodyText"/>
        <w:rPr/>
      </w:pPr>
      <w:r>
        <w:rPr/>
        <w:t>Each funding structure leads to the same core activation: land security, infrastructure readiness, and brand launch. From there, ESG monetization begins in Year 2, with carbon credits, biodiversity offsets, and SDG-linked grants. By Year 5, all pathways converge on strong financial returns and measurable impact—IRR 22–28%, ROI 2.8×, and carbon-negative operations.</w:t>
      </w:r>
    </w:p>
    <w:p>
      <w:pPr>
        <w:pStyle w:val="BodyText"/>
        <w:rPr/>
      </w:pPr>
      <w:r>
        <w:rPr/>
        <w:t>The visual reinforces that Terra Vita is not just investable—it’s adaptable. Investors can choose the structure that fits their risk appetite, while still accessing the full “Golden Triangle” model and ESG upside.</w:t>
      </w:r>
    </w:p>
    <w:p>
      <w:pPr>
        <w:pStyle w:val="Heading2"/>
        <w:spacing w:before="200" w:after="283"/>
        <w:rPr/>
      </w:pPr>
      <w:r>
        <w:rPr/>
        <w:t>Investor Takeaway</w:t>
      </w:r>
    </w:p>
    <w:p>
      <w:pPr>
        <w:pStyle w:val="BodyText"/>
        <w:rPr/>
      </w:pPr>
      <w:r>
        <w:rPr/>
        <w:t>Terra Vita’s funding logic is modular, transparent, and impact-aligned. Whether investors choose equity, blended, or staged entry, they gain exposure to:</w:t>
      </w:r>
    </w:p>
    <w:p>
      <w:pPr>
        <w:pStyle w:val="BodyText"/>
        <w:numPr>
          <w:ilvl w:val="0"/>
          <w:numId w:val="30"/>
        </w:numPr>
        <w:tabs>
          <w:tab w:val="clear" w:pos="720"/>
          <w:tab w:val="left" w:pos="0" w:leader="none"/>
        </w:tabs>
        <w:ind w:hanging="283" w:left="709"/>
        <w:rPr/>
      </w:pPr>
      <w:r>
        <w:rPr/>
        <w:t>Land-backed security</w:t>
      </w:r>
    </w:p>
    <w:p>
      <w:pPr>
        <w:pStyle w:val="BodyText"/>
        <w:numPr>
          <w:ilvl w:val="0"/>
          <w:numId w:val="30"/>
        </w:numPr>
        <w:tabs>
          <w:tab w:val="clear" w:pos="720"/>
          <w:tab w:val="left" w:pos="0" w:leader="none"/>
        </w:tabs>
        <w:ind w:hanging="283" w:left="709"/>
        <w:rPr/>
      </w:pPr>
      <w:r>
        <w:rPr/>
        <w:t>Diversified revenue streams</w:t>
      </w:r>
    </w:p>
    <w:p>
      <w:pPr>
        <w:pStyle w:val="BodyText"/>
        <w:numPr>
          <w:ilvl w:val="0"/>
          <w:numId w:val="30"/>
        </w:numPr>
        <w:tabs>
          <w:tab w:val="clear" w:pos="720"/>
          <w:tab w:val="left" w:pos="0" w:leader="none"/>
        </w:tabs>
        <w:ind w:hanging="283" w:left="709"/>
        <w:rPr/>
      </w:pPr>
      <w:r>
        <w:rPr/>
        <w:t>ESG monetization (carbon, biodiversity, grants)</w:t>
      </w:r>
    </w:p>
    <w:p>
      <w:pPr>
        <w:pStyle w:val="BodyText"/>
        <w:numPr>
          <w:ilvl w:val="0"/>
          <w:numId w:val="30"/>
        </w:numPr>
        <w:tabs>
          <w:tab w:val="clear" w:pos="720"/>
          <w:tab w:val="left" w:pos="0" w:leader="none"/>
        </w:tabs>
        <w:ind w:hanging="283" w:left="709"/>
        <w:rPr/>
      </w:pPr>
      <w:r>
        <w:rPr/>
        <w:t>Tangible impact across jobs, land, and community</w:t>
      </w:r>
    </w:p>
    <w:p>
      <w:pPr>
        <w:pStyle w:val="BodyText"/>
        <w:rPr/>
      </w:pPr>
      <w:r>
        <w:rPr/>
        <w:t>This pathway visual reinforces investor confidence, showing how each euro invested activates regeneration, returns, and reputational value.</w:t>
      </w:r>
    </w:p>
    <w:p>
      <w:pPr>
        <w:pStyle w:val="BodyText"/>
        <w:rPr/>
      </w:pPr>
      <w:r>
        <w:rPr/>
      </w:r>
    </w:p>
    <w:p>
      <w:pPr>
        <w:pStyle w:val="BodyText"/>
        <w:rPr/>
      </w:pPr>
      <w:r>
        <w:rPr/>
      </w:r>
    </w:p>
    <w:p>
      <w:pPr>
        <w:pStyle w:val="BodyText"/>
        <w:rPr/>
      </w:pPr>
      <w:r>
        <w:rPr/>
      </w:r>
    </w:p>
    <w:p>
      <w:pPr>
        <w:pStyle w:val="BodyText"/>
        <w:rPr/>
      </w:pPr>
      <w:r>
        <w:rPr/>
      </w:r>
    </w:p>
    <w:p>
      <w:pPr>
        <w:pStyle w:val="BodyText"/>
        <w:rPr/>
      </w:pPr>
      <w:r>
        <w:rPr/>
      </w:r>
    </w:p>
    <w:p>
      <w:pPr>
        <w:pStyle w:val="Normal"/>
        <w:rPr/>
      </w:pPr>
      <w:r>
        <w:rPr/>
      </w:r>
    </w:p>
    <w:p>
      <w:pPr>
        <w:pStyle w:val="Normal"/>
        <w:rPr/>
      </w:pPr>
      <w:r>
        <w:rPr/>
      </w:r>
      <w:r>
        <w:br w:type="page"/>
      </w:r>
    </w:p>
    <w:p>
      <w:pPr>
        <w:pStyle w:val="Heading1"/>
        <w:spacing w:before="0" w:after="0"/>
        <w:rPr/>
      </w:pPr>
      <w:r>
        <w:rPr/>
        <w:t>Operations Plan</w:t>
      </w:r>
    </w:p>
    <w:p>
      <w:pPr>
        <w:pStyle w:val="Normal"/>
        <w:rPr/>
      </w:pPr>
      <w:r>
        <w:rPr/>
        <w:t>Seed Allocation: Land 62.9% (€220k), CAPEX 22.9% (€80k), OPEX &amp; Branding 14.2% (€50k).</w:t>
      </w:r>
    </w:p>
    <w:p>
      <w:pPr>
        <w:pStyle w:val="Heading3"/>
        <w:spacing w:before="200" w:after="283"/>
        <w:rPr/>
      </w:pPr>
      <w:r>
        <w:rPr/>
        <w:t xml:space="preserve">🔬 </w:t>
      </w:r>
      <w:r>
        <w:rPr/>
        <w:t>Methodology</w:t>
      </w:r>
    </w:p>
    <w:p>
      <w:pPr>
        <w:pStyle w:val="BodyText"/>
        <w:rPr/>
      </w:pPr>
      <w:r>
        <w:rPr/>
        <w:t>Terra Vita’s operational blueprint is modeled on pre-launch assumptions, regional benchmarks, and regenerative best practices. All figures are derived from internal feasibility studies, supplier quotes, and comparable eco-agriculture ventures in the Eastern Cape. The funding allocation reflects a lean, impact-driven approach—prioritizing land security, infrastructure, and brand activation.</w:t>
      </w:r>
    </w:p>
    <w:p>
      <w:pPr>
        <w:pStyle w:val="BodyText"/>
        <w:numPr>
          <w:ilvl w:val="0"/>
          <w:numId w:val="18"/>
        </w:numPr>
        <w:tabs>
          <w:tab w:val="clear" w:pos="720"/>
          <w:tab w:val="left" w:pos="0" w:leader="none"/>
        </w:tabs>
        <w:ind w:hanging="283" w:left="709"/>
        <w:rPr/>
      </w:pPr>
      <w:r>
        <w:rPr>
          <w:rStyle w:val="Strong"/>
        </w:rPr>
        <w:t>Land Acquisition</w:t>
      </w:r>
      <w:r>
        <w:rPr/>
        <w:t>: Based on verified listings and local valuations for 2–5 ha parcels.</w:t>
      </w:r>
    </w:p>
    <w:p>
      <w:pPr>
        <w:pStyle w:val="BodyText"/>
        <w:numPr>
          <w:ilvl w:val="0"/>
          <w:numId w:val="18"/>
        </w:numPr>
        <w:tabs>
          <w:tab w:val="clear" w:pos="720"/>
          <w:tab w:val="left" w:pos="0" w:leader="none"/>
        </w:tabs>
        <w:ind w:hanging="283" w:left="709"/>
        <w:rPr/>
      </w:pPr>
      <w:r>
        <w:rPr>
          <w:rStyle w:val="Strong"/>
        </w:rPr>
        <w:t>CAPEX Estimates</w:t>
      </w:r>
      <w:r>
        <w:rPr/>
        <w:t>: Include borehole, fencing, distillation unit, guesthouse upgrades, and solar setup.</w:t>
      </w:r>
    </w:p>
    <w:p>
      <w:pPr>
        <w:pStyle w:val="BodyText"/>
        <w:numPr>
          <w:ilvl w:val="0"/>
          <w:numId w:val="18"/>
        </w:numPr>
        <w:tabs>
          <w:tab w:val="clear" w:pos="720"/>
          <w:tab w:val="left" w:pos="0" w:leader="none"/>
        </w:tabs>
        <w:ind w:hanging="283" w:left="709"/>
        <w:rPr/>
      </w:pPr>
      <w:r>
        <w:rPr>
          <w:rStyle w:val="Strong"/>
        </w:rPr>
        <w:t>OPEX &amp; Branding</w:t>
      </w:r>
      <w:r>
        <w:rPr/>
        <w:t>: Cover initial staffing, marketing, packaging, and retreat module development.</w:t>
      </w:r>
    </w:p>
    <w:p>
      <w:pPr>
        <w:pStyle w:val="BodyText"/>
        <w:rPr/>
      </w:pPr>
      <w:r>
        <w:rPr/>
      </w:r>
    </w:p>
    <w:p>
      <w:pPr>
        <w:pStyle w:val="BodyText"/>
        <w:rPr/>
      </w:pPr>
      <w:r>
        <w:rPr/>
        <w:drawing>
          <wp:inline distT="0" distB="0" distL="0" distR="0">
            <wp:extent cx="4572000" cy="4572000"/>
            <wp:effectExtent l="0" t="0" r="0" b="0"/>
            <wp:docPr id="4" name="Picture 3"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descr=""/>
                    <pic:cNvPicPr>
                      <a:picLocks noChangeAspect="1" noChangeArrowheads="1"/>
                    </pic:cNvPicPr>
                  </pic:nvPicPr>
                  <pic:blipFill>
                    <a:blip r:embed="rId5"/>
                    <a:stretch>
                      <a:fillRect/>
                    </a:stretch>
                  </pic:blipFill>
                  <pic:spPr bwMode="auto">
                    <a:xfrm>
                      <a:off x="0" y="0"/>
                      <a:ext cx="4572000" cy="4572000"/>
                    </a:xfrm>
                    <a:prstGeom prst="rect">
                      <a:avLst/>
                    </a:prstGeom>
                  </pic:spPr>
                </pic:pic>
              </a:graphicData>
            </a:graphic>
          </wp:inline>
        </w:drawing>
      </w:r>
    </w:p>
    <w:p>
      <w:pPr>
        <w:pStyle w:val="Normal"/>
        <w:jc w:val="center"/>
        <w:rPr/>
      </w:pPr>
      <w:r>
        <w:rPr>
          <w:i/>
        </w:rPr>
        <w:t>Figure 5 – Funding Allocation</w:t>
      </w:r>
    </w:p>
    <w:p>
      <w:pPr>
        <w:pStyle w:val="Heading3"/>
        <w:spacing w:before="200" w:after="283"/>
        <w:rPr/>
      </w:pPr>
      <w:r>
        <w:rPr/>
        <w:t>Key View</w:t>
      </w:r>
    </w:p>
    <w:p>
      <w:pPr>
        <w:pStyle w:val="BodyText"/>
        <w:rPr/>
      </w:pPr>
      <w:r>
        <w:rPr/>
        <w:t>The operations plan is designed to activate Terra Vita’s “Golden Triangle” model within 12 months, ensuring foundational readiness for agriculture, hospitality, and ESG monetization. Capital efficiency is maximized by front-loading land and infrastructure, while branding and retreat logic are phased in with agility.</w:t>
      </w:r>
    </w:p>
    <w:p>
      <w:pPr>
        <w:pStyle w:val="Heading3"/>
        <w:spacing w:before="200" w:after="283"/>
        <w:rPr/>
      </w:pPr>
      <w:r>
        <w:rPr/>
      </w:r>
    </w:p>
    <w:p>
      <w:pPr>
        <w:pStyle w:val="BodyText"/>
        <w:rPr/>
      </w:pPr>
      <w:r>
        <w:rPr>
          <w:rStyle w:val="Strong"/>
        </w:rPr>
        <w:t>Figure 5 – Funding Allocation Pie Chart</w:t>
      </w:r>
    </w:p>
    <w:p>
      <w:pPr>
        <w:pStyle w:val="BodyText"/>
        <w:numPr>
          <w:ilvl w:val="0"/>
          <w:numId w:val="19"/>
        </w:numPr>
        <w:tabs>
          <w:tab w:val="clear" w:pos="720"/>
          <w:tab w:val="left" w:pos="0" w:leader="none"/>
        </w:tabs>
        <w:ind w:hanging="283" w:left="709"/>
        <w:rPr/>
      </w:pPr>
      <w:r>
        <w:rPr/>
        <w:t xml:space="preserve">Land: </w:t>
      </w:r>
      <w:r>
        <w:rPr>
          <w:rStyle w:val="Strong"/>
        </w:rPr>
        <w:t>62.9%</w:t>
      </w:r>
      <w:r>
        <w:rPr/>
        <w:t xml:space="preserve"> (€220,000)</w:t>
      </w:r>
    </w:p>
    <w:p>
      <w:pPr>
        <w:pStyle w:val="BodyText"/>
        <w:numPr>
          <w:ilvl w:val="0"/>
          <w:numId w:val="19"/>
        </w:numPr>
        <w:tabs>
          <w:tab w:val="clear" w:pos="720"/>
          <w:tab w:val="left" w:pos="0" w:leader="none"/>
        </w:tabs>
        <w:ind w:hanging="283" w:left="709"/>
        <w:rPr/>
      </w:pPr>
      <w:r>
        <w:rPr/>
        <w:t xml:space="preserve">CAPEX: </w:t>
      </w:r>
      <w:r>
        <w:rPr>
          <w:rStyle w:val="Strong"/>
        </w:rPr>
        <w:t>22.9%</w:t>
      </w:r>
      <w:r>
        <w:rPr/>
        <w:t xml:space="preserve"> (€80,000)</w:t>
      </w:r>
    </w:p>
    <w:p>
      <w:pPr>
        <w:pStyle w:val="BodyText"/>
        <w:numPr>
          <w:ilvl w:val="0"/>
          <w:numId w:val="19"/>
        </w:numPr>
        <w:tabs>
          <w:tab w:val="clear" w:pos="720"/>
          <w:tab w:val="left" w:pos="0" w:leader="none"/>
        </w:tabs>
        <w:ind w:hanging="283" w:left="709"/>
        <w:rPr/>
      </w:pPr>
      <w:r>
        <w:rPr/>
        <w:t xml:space="preserve">OPEX &amp; Branding: </w:t>
      </w:r>
      <w:r>
        <w:rPr>
          <w:rStyle w:val="Strong"/>
        </w:rPr>
        <w:t>14.2%</w:t>
      </w:r>
      <w:r>
        <w:rPr/>
        <w:t xml:space="preserve"> (€50,000)</w:t>
      </w:r>
    </w:p>
    <w:p>
      <w:pPr>
        <w:pStyle w:val="BodyText"/>
        <w:rPr/>
      </w:pPr>
      <w:r>
        <w:rPr>
          <w:rStyle w:val="Emphasis"/>
        </w:rPr>
        <w:t>(See also: Annex A – Financial Tables for full breakdown)</w:t>
      </w:r>
    </w:p>
    <w:p>
      <w:pPr>
        <w:pStyle w:val="Heading3"/>
        <w:spacing w:before="200" w:after="283"/>
        <w:rPr/>
      </w:pPr>
      <w:r>
        <w:rPr/>
        <w:t xml:space="preserve">💡 </w:t>
      </w:r>
      <w:r>
        <w:rPr/>
        <w:t>Investor Takeaway</w:t>
      </w:r>
    </w:p>
    <w:p>
      <w:pPr>
        <w:pStyle w:val="BodyText"/>
        <w:rPr/>
      </w:pPr>
      <w:r>
        <w:rPr/>
        <w:t>Terra Vita’s operations plan is lean, logical, and impact-aligned. Every euro is mapped to tangible outcomes—land security, infrastructure readiness, and brand activation. The model is designed for rapid deployment, with measurable ESG returns and hospitality revenue within Year 1.</w:t>
      </w:r>
    </w:p>
    <w:p>
      <w:pPr>
        <w:pStyle w:val="BodyText"/>
        <w:rPr/>
      </w:pPr>
      <w:r>
        <w:rPr/>
      </w:r>
    </w:p>
    <w:p>
      <w:pPr>
        <w:pStyle w:val="Normal"/>
        <w:rPr/>
      </w:pPr>
      <w:r>
        <w:rPr/>
      </w:r>
    </w:p>
    <w:p>
      <w:pPr>
        <w:pStyle w:val="Normal"/>
        <w:jc w:val="center"/>
        <w:rPr/>
      </w:pPr>
      <w:r>
        <w:rPr/>
      </w:r>
    </w:p>
    <w:p>
      <w:pPr>
        <w:pStyle w:val="Normal"/>
        <w:jc w:val="center"/>
        <w:rPr>
          <w:i/>
          <w:i/>
        </w:rPr>
      </w:pPr>
      <w:r>
        <w:rPr>
          <w:i/>
        </w:rPr>
      </w:r>
    </w:p>
    <w:p>
      <w:pPr>
        <w:pStyle w:val="Normal"/>
        <w:rPr/>
      </w:pPr>
      <w:r>
        <w:rPr/>
      </w:r>
      <w:r>
        <w:br w:type="page"/>
      </w:r>
    </w:p>
    <w:p>
      <w:pPr>
        <w:pStyle w:val="Heading1"/>
        <w:spacing w:before="0" w:after="0"/>
        <w:rPr/>
      </w:pPr>
      <w:r>
        <w:rPr/>
        <w:t>ESG &amp; SDG Integration</w:t>
      </w:r>
    </w:p>
    <w:p>
      <w:pPr>
        <w:pStyle w:val="Normal"/>
        <w:spacing w:before="0" w:after="0"/>
        <w:rPr/>
      </w:pPr>
      <w:r>
        <w:rPr/>
      </w:r>
    </w:p>
    <w:p>
      <w:pPr>
        <w:pStyle w:val="Heading3"/>
        <w:spacing w:before="0" w:after="0"/>
        <w:rPr/>
      </w:pPr>
      <w:r>
        <w:rPr/>
        <w:t>Methodology</w:t>
      </w:r>
    </w:p>
    <w:p>
      <w:pPr>
        <w:pStyle w:val="BodyText"/>
        <w:rPr/>
      </w:pPr>
      <w:r>
        <w:rPr/>
        <w:t>Terra Vita’s ESG and SDG framework is built on measurable, place-based outcomes that align with global sustainability standards. All metrics are modeled from pre-launch assumptions, regional benchmarks, and regenerative best practices. Impact categories were selected based on relevance to Terra Vita’s core pillars—agriculture, hospitality, and community activation—and mapped to four priority SDGs:</w:t>
      </w:r>
    </w:p>
    <w:p>
      <w:pPr>
        <w:pStyle w:val="BodyText"/>
        <w:numPr>
          <w:ilvl w:val="0"/>
          <w:numId w:val="20"/>
        </w:numPr>
        <w:tabs>
          <w:tab w:val="clear" w:pos="720"/>
          <w:tab w:val="left" w:pos="0" w:leader="none"/>
        </w:tabs>
        <w:ind w:hanging="283" w:left="709"/>
        <w:rPr/>
      </w:pPr>
      <w:r>
        <w:rPr>
          <w:rStyle w:val="Strong"/>
        </w:rPr>
        <w:t>SDG 8 – Decent Work &amp; Economic Growth</w:t>
      </w:r>
      <w:r>
        <w:rPr/>
        <w:t>: Job creation through farming, hospitality, and workshops.</w:t>
      </w:r>
    </w:p>
    <w:p>
      <w:pPr>
        <w:pStyle w:val="BodyText"/>
        <w:numPr>
          <w:ilvl w:val="0"/>
          <w:numId w:val="20"/>
        </w:numPr>
        <w:tabs>
          <w:tab w:val="clear" w:pos="720"/>
          <w:tab w:val="left" w:pos="0" w:leader="none"/>
        </w:tabs>
        <w:ind w:hanging="283" w:left="709"/>
        <w:rPr/>
      </w:pPr>
      <w:r>
        <w:rPr>
          <w:rStyle w:val="Strong"/>
        </w:rPr>
        <w:t>SDG 13 – Climate Action</w:t>
      </w:r>
      <w:r>
        <w:rPr/>
        <w:t>: Carbon-negative operations via soil regeneration and offset logic.</w:t>
      </w:r>
    </w:p>
    <w:p>
      <w:pPr>
        <w:pStyle w:val="BodyText"/>
        <w:numPr>
          <w:ilvl w:val="0"/>
          <w:numId w:val="20"/>
        </w:numPr>
        <w:tabs>
          <w:tab w:val="clear" w:pos="720"/>
          <w:tab w:val="left" w:pos="0" w:leader="none"/>
        </w:tabs>
        <w:ind w:hanging="283" w:left="709"/>
        <w:rPr/>
      </w:pPr>
      <w:r>
        <w:rPr>
          <w:rStyle w:val="Strong"/>
        </w:rPr>
        <w:t>SDG 15 – Life on Land</w:t>
      </w:r>
      <w:r>
        <w:rPr/>
        <w:t>: Restoration of degraded land and biodiversity enhancement.</w:t>
      </w:r>
    </w:p>
    <w:p>
      <w:pPr>
        <w:pStyle w:val="BodyText"/>
        <w:numPr>
          <w:ilvl w:val="0"/>
          <w:numId w:val="20"/>
        </w:numPr>
        <w:tabs>
          <w:tab w:val="clear" w:pos="720"/>
          <w:tab w:val="left" w:pos="0" w:leader="none"/>
        </w:tabs>
        <w:ind w:hanging="283" w:left="709"/>
        <w:rPr/>
      </w:pPr>
      <w:r>
        <w:rPr>
          <w:rStyle w:val="Strong"/>
        </w:rPr>
        <w:t>SDG 4 – Quality Education</w:t>
      </w:r>
      <w:r>
        <w:rPr/>
        <w:t>: Community workshops and mindset coaching modules.</w:t>
      </w:r>
    </w:p>
    <w:p>
      <w:pPr>
        <w:pStyle w:val="BodyText"/>
        <w:rPr/>
      </w:pPr>
      <w:r>
        <w:rPr/>
        <w:t xml:space="preserve">Data sources include internal feasibility studies, agroforestry models, and carbon offset calculators. All assumptions are detailed in </w:t>
      </w:r>
      <w:r>
        <w:rPr>
          <w:rStyle w:val="Strong"/>
        </w:rPr>
        <w:t>Annex C – ESG &amp; SDG Impact</w:t>
      </w:r>
      <w:r>
        <w:rPr/>
        <w:t xml:space="preserve"> and </w:t>
      </w:r>
      <w:r>
        <w:rPr>
          <w:rStyle w:val="Strong"/>
        </w:rPr>
        <w:t>Annex G – ESG At One Glance</w:t>
      </w:r>
      <w:r>
        <w:rPr/>
        <w:t>.</w:t>
      </w:r>
    </w:p>
    <w:p>
      <w:pPr>
        <w:pStyle w:val="BodyText"/>
        <w:rPr/>
      </w:pPr>
      <w:r>
        <w:rPr/>
        <w:drawing>
          <wp:anchor behindDoc="0" distT="0" distB="0" distL="0" distR="0" simplePos="0" locked="0" layoutInCell="0" allowOverlap="1" relativeHeight="37">
            <wp:simplePos x="0" y="0"/>
            <wp:positionH relativeFrom="column">
              <wp:align>center</wp:align>
            </wp:positionH>
            <wp:positionV relativeFrom="paragraph">
              <wp:posOffset>635</wp:posOffset>
            </wp:positionV>
            <wp:extent cx="5486400" cy="3429000"/>
            <wp:effectExtent l="0" t="0" r="0" b="0"/>
            <wp:wrapSquare wrapText="largest"/>
            <wp:docPr id="5" name="Afbeelding4"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Afbeelding4" descr=""/>
                    <pic:cNvPicPr>
                      <a:picLocks noChangeAspect="1" noChangeArrowheads="1"/>
                    </pic:cNvPicPr>
                  </pic:nvPicPr>
                  <pic:blipFill>
                    <a:blip r:embed="rId6"/>
                    <a:stretch>
                      <a:fillRect/>
                    </a:stretch>
                  </pic:blipFill>
                  <pic:spPr bwMode="auto">
                    <a:xfrm>
                      <a:off x="0" y="0"/>
                      <a:ext cx="5486400" cy="3429000"/>
                    </a:xfrm>
                    <a:prstGeom prst="rect">
                      <a:avLst/>
                    </a:prstGeom>
                  </pic:spPr>
                </pic:pic>
              </a:graphicData>
            </a:graphic>
          </wp:anchor>
        </w:drawing>
      </w:r>
    </w:p>
    <w:p>
      <w:pPr>
        <w:pStyle w:val="Normal"/>
        <w:jc w:val="center"/>
        <w:rPr/>
      </w:pPr>
      <w:r>
        <w:rPr>
          <w:i/>
        </w:rPr>
        <w:t>Figure 2 – SDG Alignment Snapshot</w:t>
      </w:r>
    </w:p>
    <w:p>
      <w:pPr>
        <w:pStyle w:val="Heading3"/>
        <w:spacing w:before="200" w:after="283"/>
        <w:rPr/>
      </w:pPr>
      <w:r>
        <w:rPr/>
        <w:t xml:space="preserve">🎯 </w:t>
      </w:r>
      <w:r>
        <w:rPr/>
        <w:t>Key View</w:t>
      </w:r>
    </w:p>
    <w:p>
      <w:pPr>
        <w:pStyle w:val="BodyText"/>
        <w:rPr/>
      </w:pPr>
      <w:r>
        <w:t>Terra Vita is designed to be carbon-negative by Year 2, with tangible impact across jobs, land, and community engagement. ESG is not an add-on—it is embedded at the core of every operational and financial decision. Terra Vita’s strategy ensures measurable outcomes that align with four priority SDGs: decent work (8), climate action (13), life on land (15), and quality education (4). The SDG alignment is visual, modular, and investor-facing, enabling clear storytelling and potential ESG-linked funding.</w:t>
      </w:r>
    </w:p>
    <w:p>
      <w:pPr>
        <w:pStyle w:val="Heading3"/>
        <w:spacing w:before="200" w:after="283"/>
        <w:rPr/>
      </w:pPr>
      <w:r>
        <w:rPr/>
        <w:t xml:space="preserve">📊 </w:t>
      </w:r>
      <w:r>
        <w:rPr/>
        <w:t>Visuals</w:t>
      </w:r>
    </w:p>
    <w:p>
      <w:pPr>
        <w:pStyle w:val="BodyText"/>
        <w:rPr/>
      </w:pPr>
      <w:r>
        <w:rPr>
          <w:rStyle w:val="Strong"/>
        </w:rPr>
        <w:t>Figure 2 – SDG Alignment Snapshot</w:t>
      </w:r>
      <w:r>
        <w:rPr/>
        <w:t xml:space="preserve"> Visual bar showing Terra Vita’s alignment with SDG 8, 13, 15, and 4.</w:t>
      </w:r>
    </w:p>
    <w:p>
      <w:pPr>
        <w:pStyle w:val="BodyText"/>
        <w:rPr/>
      </w:pPr>
      <w:r>
        <w:rPr/>
      </w:r>
    </w:p>
    <w:p>
      <w:pPr>
        <w:pStyle w:val="BodyText"/>
        <w:rPr/>
      </w:pPr>
      <w:r>
        <w:rPr>
          <w:rStyle w:val="Strong"/>
        </w:rPr>
        <w:t>Figure 3 – Impact Metrics Grid</w:t>
      </w:r>
    </w:p>
    <w:tbl>
      <w:tblPr>
        <w:tblW w:w="5717" w:type="dxa"/>
        <w:jc w:val="left"/>
        <w:tblInd w:w="28" w:type="dxa"/>
        <w:tblLayout w:type="fixed"/>
        <w:tblCellMar>
          <w:top w:w="28" w:type="dxa"/>
          <w:left w:w="28" w:type="dxa"/>
          <w:bottom w:w="28" w:type="dxa"/>
          <w:right w:w="28" w:type="dxa"/>
        </w:tblCellMar>
      </w:tblPr>
      <w:tblGrid>
        <w:gridCol w:w="2154"/>
        <w:gridCol w:w="2500"/>
        <w:gridCol w:w="1063"/>
      </w:tblGrid>
      <w:tr>
        <w:trPr>
          <w:tblHeader w:val="true"/>
        </w:trPr>
        <w:tc>
          <w:tcPr>
            <w:tcW w:w="2154" w:type="dxa"/>
            <w:tcBorders/>
            <w:vAlign w:val="center"/>
          </w:tcPr>
          <w:p>
            <w:pPr>
              <w:pStyle w:val="Tabelkop"/>
              <w:suppressLineNumbers/>
              <w:spacing w:before="0" w:after="200"/>
              <w:jc w:val="center"/>
              <w:rPr/>
            </w:pPr>
            <w:r>
              <w:rPr/>
              <w:t>Metric</w:t>
            </w:r>
          </w:p>
        </w:tc>
        <w:tc>
          <w:tcPr>
            <w:tcW w:w="2500" w:type="dxa"/>
            <w:tcBorders/>
            <w:vAlign w:val="center"/>
          </w:tcPr>
          <w:p>
            <w:pPr>
              <w:pStyle w:val="Tabelkop"/>
              <w:suppressLineNumbers/>
              <w:spacing w:before="0" w:after="200"/>
              <w:jc w:val="center"/>
              <w:rPr/>
            </w:pPr>
            <w:r>
              <w:rPr/>
              <w:t>Baseline → Target</w:t>
            </w:r>
          </w:p>
        </w:tc>
        <w:tc>
          <w:tcPr>
            <w:tcW w:w="1063" w:type="dxa"/>
            <w:tcBorders/>
            <w:vAlign w:val="center"/>
          </w:tcPr>
          <w:p>
            <w:pPr>
              <w:pStyle w:val="Tabelkop"/>
              <w:suppressLineNumbers/>
              <w:spacing w:before="0" w:after="200"/>
              <w:jc w:val="center"/>
              <w:rPr/>
            </w:pPr>
            <w:r>
              <w:rPr/>
              <w:t>SDG Link</w:t>
            </w:r>
          </w:p>
        </w:tc>
      </w:tr>
      <w:tr>
        <w:trPr/>
        <w:tc>
          <w:tcPr>
            <w:tcW w:w="2154" w:type="dxa"/>
            <w:tcBorders/>
            <w:vAlign w:val="center"/>
          </w:tcPr>
          <w:p>
            <w:pPr>
              <w:pStyle w:val="Inhoudtabel"/>
              <w:widowControl w:val="false"/>
              <w:suppressLineNumbers/>
              <w:spacing w:before="0" w:after="200"/>
              <w:rPr/>
            </w:pPr>
            <w:r>
              <w:rPr/>
              <w:t>Jobs Created</w:t>
            </w:r>
          </w:p>
        </w:tc>
        <w:tc>
          <w:tcPr>
            <w:tcW w:w="2500" w:type="dxa"/>
            <w:tcBorders/>
            <w:vAlign w:val="center"/>
          </w:tcPr>
          <w:p>
            <w:pPr>
              <w:pStyle w:val="Inhoudtabel"/>
              <w:widowControl w:val="false"/>
              <w:suppressLineNumbers/>
              <w:spacing w:before="0" w:after="200"/>
              <w:rPr/>
            </w:pPr>
            <w:r>
              <w:rPr/>
              <w:t>10 → 20</w:t>
            </w:r>
          </w:p>
        </w:tc>
        <w:tc>
          <w:tcPr>
            <w:tcW w:w="1063" w:type="dxa"/>
            <w:tcBorders/>
            <w:vAlign w:val="center"/>
          </w:tcPr>
          <w:p>
            <w:pPr>
              <w:pStyle w:val="Inhoudtabel"/>
              <w:widowControl w:val="false"/>
              <w:suppressLineNumbers/>
              <w:spacing w:before="0" w:after="200"/>
              <w:rPr/>
            </w:pPr>
            <w:r>
              <w:rPr/>
              <w:t>SDG 8</w:t>
            </w:r>
          </w:p>
        </w:tc>
      </w:tr>
      <w:tr>
        <w:trPr/>
        <w:tc>
          <w:tcPr>
            <w:tcW w:w="2154" w:type="dxa"/>
            <w:tcBorders/>
            <w:vAlign w:val="center"/>
          </w:tcPr>
          <w:p>
            <w:pPr>
              <w:pStyle w:val="Inhoudtabel"/>
              <w:widowControl w:val="false"/>
              <w:suppressLineNumbers/>
              <w:spacing w:before="0" w:after="200"/>
              <w:rPr/>
            </w:pPr>
            <w:r>
              <w:rPr/>
              <w:t>Land Restored</w:t>
            </w:r>
          </w:p>
        </w:tc>
        <w:tc>
          <w:tcPr>
            <w:tcW w:w="2500" w:type="dxa"/>
            <w:tcBorders/>
            <w:vAlign w:val="center"/>
          </w:tcPr>
          <w:p>
            <w:pPr>
              <w:pStyle w:val="Inhoudtabel"/>
              <w:widowControl w:val="false"/>
              <w:suppressLineNumbers/>
              <w:spacing w:before="0" w:after="200"/>
              <w:rPr/>
            </w:pPr>
            <w:r>
              <w:rPr/>
              <w:t>2 ha → 5 ha</w:t>
            </w:r>
          </w:p>
        </w:tc>
        <w:tc>
          <w:tcPr>
            <w:tcW w:w="1063" w:type="dxa"/>
            <w:tcBorders/>
            <w:vAlign w:val="center"/>
          </w:tcPr>
          <w:p>
            <w:pPr>
              <w:pStyle w:val="Inhoudtabel"/>
              <w:widowControl w:val="false"/>
              <w:suppressLineNumbers/>
              <w:spacing w:before="0" w:after="200"/>
              <w:rPr/>
            </w:pPr>
            <w:r>
              <w:rPr/>
              <w:t>SDG 15</w:t>
            </w:r>
          </w:p>
        </w:tc>
      </w:tr>
      <w:tr>
        <w:trPr/>
        <w:tc>
          <w:tcPr>
            <w:tcW w:w="2154" w:type="dxa"/>
            <w:tcBorders/>
            <w:vAlign w:val="center"/>
          </w:tcPr>
          <w:p>
            <w:pPr>
              <w:pStyle w:val="Inhoudtabel"/>
              <w:widowControl w:val="false"/>
              <w:suppressLineNumbers/>
              <w:spacing w:before="0" w:after="200"/>
              <w:rPr/>
            </w:pPr>
            <w:r>
              <w:rPr/>
              <w:t>Carbon Footprint</w:t>
            </w:r>
          </w:p>
        </w:tc>
        <w:tc>
          <w:tcPr>
            <w:tcW w:w="2500" w:type="dxa"/>
            <w:tcBorders/>
            <w:vAlign w:val="center"/>
          </w:tcPr>
          <w:p>
            <w:pPr>
              <w:pStyle w:val="Inhoudtabel"/>
              <w:widowControl w:val="false"/>
              <w:suppressLineNumbers/>
              <w:spacing w:before="0" w:after="200"/>
              <w:rPr/>
            </w:pPr>
            <w:r>
              <w:rPr/>
              <w:t>Neutral → Negative by Y2</w:t>
            </w:r>
          </w:p>
        </w:tc>
        <w:tc>
          <w:tcPr>
            <w:tcW w:w="1063" w:type="dxa"/>
            <w:tcBorders/>
            <w:vAlign w:val="center"/>
          </w:tcPr>
          <w:p>
            <w:pPr>
              <w:pStyle w:val="Inhoudtabel"/>
              <w:widowControl w:val="false"/>
              <w:suppressLineNumbers/>
              <w:spacing w:before="0" w:after="200"/>
              <w:rPr/>
            </w:pPr>
            <w:r>
              <w:rPr/>
              <w:t>SDG 13</w:t>
            </w:r>
          </w:p>
        </w:tc>
      </w:tr>
      <w:tr>
        <w:trPr/>
        <w:tc>
          <w:tcPr>
            <w:tcW w:w="2154" w:type="dxa"/>
            <w:tcBorders/>
            <w:vAlign w:val="center"/>
          </w:tcPr>
          <w:p>
            <w:pPr>
              <w:pStyle w:val="Inhoudtabel"/>
              <w:widowControl w:val="false"/>
              <w:suppressLineNumbers/>
              <w:spacing w:before="0" w:after="200"/>
              <w:rPr/>
            </w:pPr>
            <w:r>
              <w:rPr/>
              <w:t>Workshops Delivered</w:t>
            </w:r>
          </w:p>
        </w:tc>
        <w:tc>
          <w:tcPr>
            <w:tcW w:w="2500" w:type="dxa"/>
            <w:tcBorders/>
            <w:vAlign w:val="center"/>
          </w:tcPr>
          <w:p>
            <w:pPr>
              <w:pStyle w:val="Inhoudtabel"/>
              <w:widowControl w:val="false"/>
              <w:suppressLineNumbers/>
              <w:spacing w:before="0" w:after="200"/>
              <w:rPr/>
            </w:pPr>
            <w:r>
              <w:rPr/>
              <w:t>0 → 3/year</w:t>
            </w:r>
          </w:p>
        </w:tc>
        <w:tc>
          <w:tcPr>
            <w:tcW w:w="1063" w:type="dxa"/>
            <w:tcBorders/>
            <w:vAlign w:val="center"/>
          </w:tcPr>
          <w:p>
            <w:pPr>
              <w:pStyle w:val="Inhoudtabel"/>
              <w:widowControl w:val="false"/>
              <w:suppressLineNumbers/>
              <w:spacing w:before="0" w:after="200"/>
              <w:rPr/>
            </w:pPr>
            <w:r>
              <w:rPr/>
              <w:t>SDG 4</w:t>
            </w:r>
          </w:p>
        </w:tc>
      </w:tr>
    </w:tbl>
    <w:p>
      <w:pPr>
        <w:pStyle w:val="BodyText"/>
        <w:rPr>
          <w:rStyle w:val="Strong"/>
        </w:rPr>
      </w:pPr>
      <w:r>
        <w:rPr/>
      </w:r>
    </w:p>
    <w:p>
      <w:pPr>
        <w:pStyle w:val="BodyText"/>
        <w:rPr/>
      </w:pPr>
      <w:r>
        <w:rPr>
          <w:rStyle w:val="Strong"/>
        </w:rPr>
        <w:t>Figure 6 – ESG: Jobs Created &amp; Land Restored</w:t>
      </w:r>
      <w:r>
        <w:rPr/>
        <w:t xml:space="preserve"> Chart showing cumulative job creation and land restoration over 5 years.</w:t>
      </w:r>
    </w:p>
    <w:p>
      <w:pPr>
        <w:pStyle w:val="BodyText"/>
        <w:rPr/>
      </w:pPr>
      <w:r>
        <w:rPr>
          <w:rStyle w:val="Emphasis"/>
        </w:rPr>
        <w:t>(See also: Annex C, F, and G for full methodology and ratios)</w:t>
      </w:r>
    </w:p>
    <w:p>
      <w:pPr>
        <w:pStyle w:val="Heading3"/>
        <w:spacing w:before="200" w:after="283"/>
        <w:rPr/>
      </w:pPr>
      <w:r>
        <w:rPr/>
        <w:t xml:space="preserve">💡 </w:t>
      </w:r>
      <w:r>
        <w:rPr/>
        <w:t>Investor Takeaway</w:t>
      </w:r>
    </w:p>
    <w:p>
      <w:pPr>
        <w:pStyle w:val="BodyText"/>
        <w:rPr/>
      </w:pPr>
      <w:r>
        <w:rPr/>
        <w:t>Terra Vita offers more than financial returns—it delivers quantifiable ESG outcomes with SDG alignment. Investors gain exposure to carbon-negative operations, biodiversity restoration, and community upliftment—all backed by transparent metrics and visual proof. This positions Terra Vita for ESG-linked funding, impact reporting, and long-term reputational value.</w:t>
      </w:r>
    </w:p>
    <w:p>
      <w:pPr>
        <w:pStyle w:val="Normal"/>
        <w:spacing w:before="0" w:after="0"/>
        <w:rPr/>
      </w:pPr>
      <w:r>
        <w:rPr/>
      </w:r>
    </w:p>
    <w:p>
      <w:pPr>
        <w:pStyle w:val="Normal"/>
        <w:jc w:val="center"/>
        <w:rPr/>
      </w:pPr>
      <w:r>
        <w:rPr/>
      </w:r>
    </w:p>
    <w:p>
      <w:pPr>
        <w:pStyle w:val="Normal"/>
        <w:jc w:val="center"/>
        <w:rPr>
          <w:i/>
          <w:i/>
        </w:rPr>
      </w:pPr>
      <w:r>
        <w:rPr>
          <w:i/>
        </w:rPr>
        <w:drawing>
          <wp:anchor behindDoc="0" distT="0" distB="0" distL="0" distR="0" simplePos="0" locked="0" layoutInCell="0" allowOverlap="1" relativeHeight="36">
            <wp:simplePos x="0" y="0"/>
            <wp:positionH relativeFrom="column">
              <wp:align>center</wp:align>
            </wp:positionH>
            <wp:positionV relativeFrom="paragraph">
              <wp:posOffset>635</wp:posOffset>
            </wp:positionV>
            <wp:extent cx="5486400" cy="3429000"/>
            <wp:effectExtent l="0" t="0" r="0" b="0"/>
            <wp:wrapSquare wrapText="largest"/>
            <wp:docPr id="6" name="Afbeelding3"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Afbeelding3" descr=""/>
                    <pic:cNvPicPr>
                      <a:picLocks noChangeAspect="1" noChangeArrowheads="1"/>
                    </pic:cNvPicPr>
                  </pic:nvPicPr>
                  <pic:blipFill>
                    <a:blip r:embed="rId7"/>
                    <a:stretch>
                      <a:fillRect/>
                    </a:stretch>
                  </pic:blipFill>
                  <pic:spPr bwMode="auto">
                    <a:xfrm>
                      <a:off x="0" y="0"/>
                      <a:ext cx="5486400" cy="3429000"/>
                    </a:xfrm>
                    <a:prstGeom prst="rect">
                      <a:avLst/>
                    </a:prstGeom>
                  </pic:spPr>
                </pic:pic>
              </a:graphicData>
            </a:graphic>
          </wp:anchor>
        </w:drawing>
      </w:r>
    </w:p>
    <w:p>
      <w:pPr>
        <w:pStyle w:val="Normal"/>
        <w:jc w:val="center"/>
        <w:rPr/>
      </w:pPr>
      <w:r>
        <w:rPr/>
      </w:r>
    </w:p>
    <w:p>
      <w:pPr>
        <w:pStyle w:val="Normal"/>
        <w:jc w:val="center"/>
        <w:rPr/>
      </w:pPr>
      <w:r>
        <w:rPr>
          <w:i/>
        </w:rPr>
        <w:t>Figure 3 – Impact Metrics Grid</w:t>
      </w:r>
    </w:p>
    <w:p>
      <w:pPr>
        <w:pStyle w:val="Normal"/>
        <w:rPr/>
      </w:pPr>
      <w:r>
        <w:rPr/>
      </w:r>
      <w:r>
        <w:br w:type="page"/>
      </w:r>
    </w:p>
    <w:p>
      <w:pPr>
        <w:pStyle w:val="Heading1"/>
        <w:spacing w:before="0" w:after="0"/>
        <w:rPr/>
      </w:pPr>
      <w:r>
        <w:rPr/>
        <w:t>Financial Plan</w:t>
      </w:r>
    </w:p>
    <w:p>
      <w:pPr>
        <w:pStyle w:val="Normal"/>
        <w:spacing w:before="0" w:after="0"/>
        <w:rPr/>
      </w:pPr>
      <w:r>
        <w:rPr/>
      </w:r>
    </w:p>
    <w:p>
      <w:pPr>
        <w:pStyle w:val="BodyText"/>
        <w:spacing w:before="0" w:after="0"/>
        <w:rPr/>
      </w:pPr>
      <w:r>
        <w:rPr/>
        <w:t>Terra Vita’s financial projections are modeled on pre-launch assumptions, regional benchmarks, and lean startup principles. All figures reflect conservative estimates validated by supplier quotes, agro-climatic data, and comparable eco-agriculture ventures in South Africa’s Eastern Cape.</w:t>
      </w:r>
    </w:p>
    <w:p>
      <w:pPr>
        <w:pStyle w:val="BodyText"/>
        <w:spacing w:before="0" w:after="0"/>
        <w:rPr/>
      </w:pPr>
      <w:r>
        <w:rPr/>
      </w:r>
    </w:p>
    <w:p>
      <w:pPr>
        <w:pStyle w:val="BodyText"/>
        <w:rPr/>
      </w:pPr>
      <w:r>
        <w:rPr/>
        <w:t>Key modeling inputs include:</w:t>
      </w:r>
    </w:p>
    <w:p>
      <w:pPr>
        <w:pStyle w:val="BodyText"/>
        <w:numPr>
          <w:ilvl w:val="0"/>
          <w:numId w:val="21"/>
        </w:numPr>
        <w:tabs>
          <w:tab w:val="clear" w:pos="720"/>
          <w:tab w:val="left" w:pos="0" w:leader="none"/>
        </w:tabs>
        <w:ind w:hanging="283" w:left="709"/>
        <w:rPr/>
      </w:pPr>
      <w:r>
        <w:rPr>
          <w:rStyle w:val="Strong"/>
        </w:rPr>
        <w:t>Revenue Streams</w:t>
      </w:r>
      <w:r>
        <w:rPr/>
        <w:t>: Hospitality (B&amp;B + retreats), essential oil sales (bulk + retail), ESG monetization (carbon credits, biodiversity).</w:t>
      </w:r>
    </w:p>
    <w:p>
      <w:pPr>
        <w:pStyle w:val="BodyText"/>
        <w:numPr>
          <w:ilvl w:val="0"/>
          <w:numId w:val="21"/>
        </w:numPr>
        <w:tabs>
          <w:tab w:val="clear" w:pos="720"/>
          <w:tab w:val="left" w:pos="0" w:leader="none"/>
        </w:tabs>
        <w:ind w:hanging="283" w:left="709"/>
        <w:rPr/>
      </w:pPr>
      <w:r>
        <w:rPr>
          <w:rStyle w:val="Strong"/>
        </w:rPr>
        <w:t>Cost Structure</w:t>
      </w:r>
      <w:r>
        <w:rPr/>
        <w:t>: Land acquisition, CAPEX (infrastructure, distillation, solar), OPEX (staffing, branding, marketing).</w:t>
      </w:r>
    </w:p>
    <w:p>
      <w:pPr>
        <w:pStyle w:val="BodyText"/>
        <w:numPr>
          <w:ilvl w:val="0"/>
          <w:numId w:val="21"/>
        </w:numPr>
        <w:tabs>
          <w:tab w:val="clear" w:pos="720"/>
          <w:tab w:val="left" w:pos="0" w:leader="none"/>
        </w:tabs>
        <w:ind w:hanging="283" w:left="709"/>
        <w:rPr/>
      </w:pPr>
      <w:r>
        <w:rPr>
          <w:rStyle w:val="Strong"/>
        </w:rPr>
        <w:t>Time Horizon</w:t>
      </w:r>
      <w:r>
        <w:rPr/>
        <w:t>: 5-year projection with Year 1 activation, Year 2 scaling, and Year 3–5 diversification.</w:t>
      </w:r>
    </w:p>
    <w:p>
      <w:pPr>
        <w:pStyle w:val="BodyText"/>
        <w:numPr>
          <w:ilvl w:val="0"/>
          <w:numId w:val="21"/>
        </w:numPr>
        <w:tabs>
          <w:tab w:val="clear" w:pos="720"/>
          <w:tab w:val="left" w:pos="0" w:leader="none"/>
        </w:tabs>
        <w:ind w:hanging="283" w:left="709"/>
        <w:rPr/>
      </w:pPr>
      <w:r>
        <w:rPr>
          <w:rStyle w:val="Strong"/>
        </w:rPr>
        <w:t>Discount Rate</w:t>
      </w:r>
      <w:r>
        <w:rPr/>
        <w:t>: 10% applied for IRR sensitivity modeling (see Annex B).</w:t>
      </w:r>
    </w:p>
    <w:p>
      <w:pPr>
        <w:pStyle w:val="BodyText"/>
        <w:numPr>
          <w:ilvl w:val="0"/>
          <w:numId w:val="21"/>
        </w:numPr>
        <w:tabs>
          <w:tab w:val="clear" w:pos="720"/>
          <w:tab w:val="left" w:pos="0" w:leader="none"/>
        </w:tabs>
        <w:ind w:hanging="283" w:left="709"/>
        <w:rPr/>
      </w:pPr>
      <w:r>
        <w:rPr>
          <w:rStyle w:val="Strong"/>
        </w:rPr>
        <w:t>Currency</w:t>
      </w:r>
      <w:r>
        <w:rPr/>
        <w:t>: All figures presented in euros (€), with exchange assumptions noted in Annex A.</w:t>
      </w:r>
    </w:p>
    <w:p>
      <w:pPr>
        <w:pStyle w:val="BodyText"/>
        <w:rPr/>
      </w:pPr>
      <w:r>
        <w:rPr/>
        <w:t>Assumptions are detailed in:</w:t>
      </w:r>
    </w:p>
    <w:p>
      <w:pPr>
        <w:pStyle w:val="BodyText"/>
        <w:numPr>
          <w:ilvl w:val="0"/>
          <w:numId w:val="22"/>
        </w:numPr>
        <w:tabs>
          <w:tab w:val="clear" w:pos="720"/>
          <w:tab w:val="left" w:pos="0" w:leader="none"/>
        </w:tabs>
        <w:ind w:hanging="283" w:left="709"/>
        <w:rPr/>
      </w:pPr>
      <w:r>
        <w:rPr>
          <w:rStyle w:val="Strong"/>
        </w:rPr>
        <w:t>Annex A – Financial Tables</w:t>
      </w:r>
      <w:r>
        <w:rPr/>
        <w:t>: Revenue, EBITDA, DSCR, ROI, payback.</w:t>
      </w:r>
    </w:p>
    <w:p>
      <w:pPr>
        <w:pStyle w:val="BodyText"/>
        <w:numPr>
          <w:ilvl w:val="0"/>
          <w:numId w:val="22"/>
        </w:numPr>
        <w:tabs>
          <w:tab w:val="clear" w:pos="720"/>
          <w:tab w:val="left" w:pos="0" w:leader="none"/>
        </w:tabs>
        <w:ind w:hanging="283" w:left="709"/>
        <w:rPr/>
      </w:pPr>
      <w:r>
        <w:rPr>
          <w:rStyle w:val="Strong"/>
        </w:rPr>
        <w:t>Annex B – IRR Sensitivity</w:t>
      </w:r>
      <w:r>
        <w:rPr/>
        <w:t>: Downside, base, and upside scenarios.</w:t>
      </w:r>
    </w:p>
    <w:p>
      <w:pPr>
        <w:pStyle w:val="BodyText"/>
        <w:numPr>
          <w:ilvl w:val="0"/>
          <w:numId w:val="22"/>
        </w:numPr>
        <w:tabs>
          <w:tab w:val="clear" w:pos="720"/>
          <w:tab w:val="left" w:pos="0" w:leader="none"/>
        </w:tabs>
        <w:ind w:hanging="283" w:left="709"/>
        <w:rPr/>
      </w:pPr>
      <w:r>
        <w:rPr>
          <w:rStyle w:val="Strong"/>
        </w:rPr>
        <w:t>Annex E – Funding Scenarios</w:t>
      </w:r>
      <w:r>
        <w:rPr/>
        <w:t>: Equity, blended, and staged structures.</w:t>
      </w:r>
    </w:p>
    <w:p>
      <w:pPr>
        <w:pStyle w:val="BodyText"/>
        <w:rPr/>
      </w:pPr>
      <w:r>
        <w:rPr/>
      </w:r>
    </w:p>
    <w:p>
      <w:pPr>
        <w:pStyle w:val="BodyText"/>
        <w:rPr/>
      </w:pPr>
      <w:r>
        <w:rPr/>
      </w:r>
    </w:p>
    <w:p>
      <w:pPr>
        <w:pStyle w:val="BodyText"/>
        <w:rPr/>
      </w:pPr>
      <w:r>
        <w:rPr/>
      </w:r>
    </w:p>
    <w:p>
      <w:pPr>
        <w:pStyle w:val="BodyText"/>
        <w:rPr/>
      </w:pPr>
      <w:r>
        <w:rPr/>
      </w:r>
    </w:p>
    <w:p>
      <w:pPr>
        <w:pStyle w:val="BodyText"/>
        <w:rPr/>
      </w:pPr>
      <w:r>
        <w:rPr/>
      </w:r>
    </w:p>
    <w:p>
      <w:pPr>
        <w:pStyle w:val="BodyText"/>
        <w:rPr/>
      </w:pPr>
      <w:r>
        <w:rPr/>
      </w:r>
    </w:p>
    <w:p>
      <w:pPr>
        <w:pStyle w:val="BodyText"/>
        <w:rPr/>
      </w:pPr>
      <w:r>
        <w:rPr/>
      </w:r>
    </w:p>
    <w:p>
      <w:pPr>
        <w:pStyle w:val="BodyText"/>
        <w:rPr/>
      </w:pPr>
      <w:r>
        <w:rPr/>
      </w:r>
    </w:p>
    <w:p>
      <w:pPr>
        <w:pStyle w:val="BodyText"/>
        <w:rPr/>
      </w:pPr>
      <w:r>
        <w:rPr/>
      </w:r>
    </w:p>
    <w:p>
      <w:pPr>
        <w:pStyle w:val="BodyText"/>
        <w:rPr/>
      </w:pPr>
      <w:r>
        <w:rPr/>
      </w:r>
    </w:p>
    <w:p>
      <w:pPr>
        <w:pStyle w:val="BodyText"/>
        <w:rPr/>
      </w:pPr>
      <w:r>
        <w:rPr/>
      </w:r>
    </w:p>
    <w:p>
      <w:pPr>
        <w:pStyle w:val="Normal"/>
        <w:jc w:val="center"/>
        <w:rPr/>
      </w:pPr>
      <w:r>
        <w:rPr/>
        <w:drawing>
          <wp:inline distT="0" distB="0" distL="0" distR="0">
            <wp:extent cx="4846320" cy="3028950"/>
            <wp:effectExtent l="0" t="0" r="0" b="0"/>
            <wp:docPr id="7" name="Picture 6"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descr=""/>
                    <pic:cNvPicPr>
                      <a:picLocks noChangeAspect="1" noChangeArrowheads="1"/>
                    </pic:cNvPicPr>
                  </pic:nvPicPr>
                  <pic:blipFill>
                    <a:blip r:embed="rId8"/>
                    <a:stretch>
                      <a:fillRect/>
                    </a:stretch>
                  </pic:blipFill>
                  <pic:spPr bwMode="auto">
                    <a:xfrm>
                      <a:off x="0" y="0"/>
                      <a:ext cx="4846320" cy="3028950"/>
                    </a:xfrm>
                    <a:prstGeom prst="rect">
                      <a:avLst/>
                    </a:prstGeom>
                  </pic:spPr>
                </pic:pic>
              </a:graphicData>
            </a:graphic>
          </wp:inline>
        </w:drawing>
      </w:r>
    </w:p>
    <w:p>
      <w:pPr>
        <w:pStyle w:val="Normal"/>
        <w:jc w:val="center"/>
        <w:rPr/>
      </w:pPr>
      <w:r>
        <w:rPr>
          <w:i/>
        </w:rPr>
        <w:t>Figure 8 – 5</w:t>
        <w:noBreakHyphen/>
        <w:t>Year Financial Projection</w:t>
      </w:r>
    </w:p>
    <w:p>
      <w:pPr>
        <w:pStyle w:val="Normal"/>
        <w:jc w:val="center"/>
        <w:rPr>
          <w:i/>
          <w:i/>
        </w:rPr>
      </w:pPr>
      <w:r>
        <w:rPr>
          <w:i/>
        </w:rPr>
      </w:r>
    </w:p>
    <w:p>
      <w:pPr>
        <w:pStyle w:val="Normal"/>
        <w:jc w:val="center"/>
        <w:rPr>
          <w:i/>
          <w:i/>
        </w:rPr>
      </w:pPr>
      <w:r>
        <w:rPr>
          <w:i/>
        </w:rPr>
      </w:r>
    </w:p>
    <w:p>
      <w:pPr>
        <w:pStyle w:val="Normal"/>
        <w:jc w:val="center"/>
        <w:rPr>
          <w:i/>
          <w:i/>
        </w:rPr>
      </w:pPr>
      <w:r>
        <w:rPr>
          <w:i/>
        </w:rPr>
      </w:r>
    </w:p>
    <w:p>
      <w:pPr>
        <w:pStyle w:val="Normal"/>
        <w:jc w:val="center"/>
        <w:rPr>
          <w:i/>
          <w:i/>
        </w:rPr>
      </w:pPr>
      <w:r>
        <w:rPr>
          <w:i/>
        </w:rPr>
      </w:r>
    </w:p>
    <w:p>
      <w:pPr>
        <w:pStyle w:val="Normal"/>
        <w:jc w:val="center"/>
        <w:rPr>
          <w:i/>
          <w:i/>
        </w:rPr>
      </w:pPr>
      <w:r>
        <w:rPr>
          <w:i/>
        </w:rPr>
      </w:r>
    </w:p>
    <w:p>
      <w:pPr>
        <w:pStyle w:val="Normal"/>
        <w:jc w:val="center"/>
        <w:rPr>
          <w:i/>
          <w:i/>
        </w:rPr>
      </w:pPr>
      <w:r>
        <w:rPr>
          <w:i/>
        </w:rPr>
      </w:r>
    </w:p>
    <w:p>
      <w:pPr>
        <w:pStyle w:val="Normal"/>
        <w:jc w:val="center"/>
        <w:rPr>
          <w:i/>
          <w:i/>
        </w:rPr>
      </w:pPr>
      <w:r>
        <w:rPr>
          <w:i/>
        </w:rPr>
      </w:r>
    </w:p>
    <w:p>
      <w:pPr>
        <w:pStyle w:val="Normal"/>
        <w:jc w:val="center"/>
        <w:rPr>
          <w:i/>
          <w:i/>
        </w:rPr>
      </w:pPr>
      <w:r>
        <w:rPr>
          <w:i/>
        </w:rPr>
      </w:r>
    </w:p>
    <w:p>
      <w:pPr>
        <w:pStyle w:val="Normal"/>
        <w:jc w:val="center"/>
        <w:rPr>
          <w:i/>
          <w:i/>
        </w:rPr>
      </w:pPr>
      <w:r>
        <w:rPr>
          <w:i/>
        </w:rPr>
      </w:r>
    </w:p>
    <w:p>
      <w:pPr>
        <w:pStyle w:val="Normal"/>
        <w:jc w:val="center"/>
        <w:rPr>
          <w:i/>
          <w:i/>
        </w:rPr>
      </w:pPr>
      <w:r>
        <w:rPr>
          <w:i/>
        </w:rPr>
      </w:r>
    </w:p>
    <w:p>
      <w:pPr>
        <w:pStyle w:val="Normal"/>
        <w:jc w:val="center"/>
        <w:rPr>
          <w:i/>
          <w:i/>
        </w:rPr>
      </w:pPr>
      <w:r>
        <w:rPr>
          <w:i/>
        </w:rPr>
      </w:r>
    </w:p>
    <w:p>
      <w:pPr>
        <w:pStyle w:val="Normal"/>
        <w:jc w:val="center"/>
        <w:rPr>
          <w:i/>
          <w:i/>
        </w:rPr>
      </w:pPr>
      <w:r>
        <w:rPr>
          <w:i/>
        </w:rPr>
      </w:r>
    </w:p>
    <w:p>
      <w:pPr>
        <w:pStyle w:val="Normal"/>
        <w:jc w:val="center"/>
        <w:rPr>
          <w:i/>
          <w:i/>
        </w:rPr>
      </w:pPr>
      <w:r>
        <w:rPr>
          <w:i/>
        </w:rPr>
      </w:r>
    </w:p>
    <w:p>
      <w:pPr>
        <w:pStyle w:val="Heading2"/>
        <w:spacing w:before="200" w:after="283"/>
        <w:rPr/>
      </w:pPr>
      <w:r>
        <w:rPr/>
        <w:t>IRR Sensitivity – Methodology</w:t>
      </w:r>
    </w:p>
    <w:p>
      <w:pPr>
        <w:pStyle w:val="Heading3"/>
        <w:spacing w:before="200" w:after="283"/>
        <w:rPr/>
      </w:pPr>
      <w:r>
        <w:rPr/>
        <w:t xml:space="preserve">🔬 </w:t>
      </w:r>
      <w:r>
        <w:rPr/>
        <w:t>Methodology</w:t>
      </w:r>
    </w:p>
    <w:p>
      <w:pPr>
        <w:pStyle w:val="BodyText"/>
        <w:rPr/>
      </w:pPr>
      <w:r>
        <w:rPr/>
        <w:t>Terra Vita’s IRR sensitivity analysis models three capital deployment scenarios—downside, base, and upside—using a 10% discount rate. Each scenario reflects variations in revenue timing, cost overruns, and operational efficiency, based on pre-launch assumptions and regional benchmarks.</w:t>
      </w:r>
    </w:p>
    <w:p>
      <w:pPr>
        <w:pStyle w:val="BodyText"/>
        <w:rPr/>
      </w:pPr>
      <w:r>
        <w:rPr>
          <w:rStyle w:val="Strong"/>
        </w:rPr>
        <w:t>Inputs &amp; Assumptions:</w:t>
      </w:r>
    </w:p>
    <w:p>
      <w:pPr>
        <w:pStyle w:val="BodyText"/>
        <w:numPr>
          <w:ilvl w:val="0"/>
          <w:numId w:val="23"/>
        </w:numPr>
        <w:tabs>
          <w:tab w:val="clear" w:pos="720"/>
          <w:tab w:val="left" w:pos="0" w:leader="none"/>
        </w:tabs>
        <w:ind w:hanging="283" w:left="709"/>
        <w:rPr/>
      </w:pPr>
      <w:r>
        <w:rPr>
          <w:rStyle w:val="Strong"/>
        </w:rPr>
        <w:t>Discount Rate</w:t>
      </w:r>
      <w:r>
        <w:rPr/>
        <w:t>: 10% (industry standard for early-stage impact ventures)</w:t>
      </w:r>
    </w:p>
    <w:p>
      <w:pPr>
        <w:pStyle w:val="BodyText"/>
        <w:numPr>
          <w:ilvl w:val="0"/>
          <w:numId w:val="23"/>
        </w:numPr>
        <w:tabs>
          <w:tab w:val="clear" w:pos="720"/>
          <w:tab w:val="left" w:pos="0" w:leader="none"/>
        </w:tabs>
        <w:ind w:hanging="283" w:left="709"/>
        <w:rPr/>
      </w:pPr>
      <w:r>
        <w:rPr>
          <w:rStyle w:val="Strong"/>
        </w:rPr>
        <w:t>Time Horizon</w:t>
      </w:r>
      <w:r>
        <w:rPr/>
        <w:t>: 5 years</w:t>
      </w:r>
    </w:p>
    <w:p>
      <w:pPr>
        <w:pStyle w:val="BodyText"/>
        <w:numPr>
          <w:ilvl w:val="0"/>
          <w:numId w:val="23"/>
        </w:numPr>
        <w:tabs>
          <w:tab w:val="clear" w:pos="720"/>
          <w:tab w:val="left" w:pos="0" w:leader="none"/>
        </w:tabs>
        <w:ind w:hanging="283" w:left="709"/>
        <w:rPr/>
      </w:pPr>
      <w:r>
        <w:rPr>
          <w:rStyle w:val="Strong"/>
        </w:rPr>
        <w:t>Revenue Streams</w:t>
      </w:r>
      <w:r>
        <w:rPr/>
        <w:t>: Hospitality, essential oils, ESG monetization</w:t>
      </w:r>
    </w:p>
    <w:p>
      <w:pPr>
        <w:pStyle w:val="BodyText"/>
        <w:numPr>
          <w:ilvl w:val="0"/>
          <w:numId w:val="23"/>
        </w:numPr>
        <w:tabs>
          <w:tab w:val="clear" w:pos="720"/>
          <w:tab w:val="left" w:pos="0" w:leader="none"/>
        </w:tabs>
        <w:ind w:hanging="283" w:left="709"/>
        <w:rPr/>
      </w:pPr>
      <w:r>
        <w:rPr>
          <w:rStyle w:val="Strong"/>
        </w:rPr>
        <w:t>Cost Variables</w:t>
      </w:r>
      <w:r>
        <w:rPr/>
        <w:t>: CAPEX fluctuation, OPEX scaling, retreat occupancy</w:t>
      </w:r>
    </w:p>
    <w:p>
      <w:pPr>
        <w:pStyle w:val="BodyText"/>
        <w:numPr>
          <w:ilvl w:val="0"/>
          <w:numId w:val="23"/>
        </w:numPr>
        <w:tabs>
          <w:tab w:val="clear" w:pos="720"/>
          <w:tab w:val="left" w:pos="0" w:leader="none"/>
        </w:tabs>
        <w:ind w:hanging="283" w:left="709"/>
        <w:rPr/>
      </w:pPr>
      <w:r>
        <w:rPr>
          <w:rStyle w:val="Strong"/>
        </w:rPr>
        <w:t>Impact Factors</w:t>
      </w:r>
      <w:r>
        <w:rPr/>
        <w:t>: Carbon credit pricing, oil yield per hectare, workshop uptake</w:t>
      </w:r>
    </w:p>
    <w:p>
      <w:pPr>
        <w:pStyle w:val="BodyText"/>
        <w:rPr/>
      </w:pPr>
      <w:r>
        <w:rPr/>
        <w:t>Each scenario is modeled using Terra Vita’s integrated financial tables (see Annex A), with sensitivity logic detailed in Annex B.</w:t>
      </w:r>
      <w:r>
        <w:rPr/>
        <w:drawing>
          <wp:inline distT="0" distB="0" distL="0" distR="0">
            <wp:extent cx="4846320" cy="4038600"/>
            <wp:effectExtent l="0" t="0" r="0" b="0"/>
            <wp:docPr id="8" name="Picture 7"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descr=""/>
                    <pic:cNvPicPr>
                      <a:picLocks noChangeAspect="1" noChangeArrowheads="1"/>
                    </pic:cNvPicPr>
                  </pic:nvPicPr>
                  <pic:blipFill>
                    <a:blip r:embed="rId9"/>
                    <a:stretch>
                      <a:fillRect/>
                    </a:stretch>
                  </pic:blipFill>
                  <pic:spPr bwMode="auto">
                    <a:xfrm>
                      <a:off x="0" y="0"/>
                      <a:ext cx="4846320" cy="4038600"/>
                    </a:xfrm>
                    <a:prstGeom prst="rect">
                      <a:avLst/>
                    </a:prstGeom>
                  </pic:spPr>
                </pic:pic>
              </a:graphicData>
            </a:graphic>
          </wp:inline>
        </w:drawing>
      </w:r>
    </w:p>
    <w:p>
      <w:pPr>
        <w:pStyle w:val="Normal"/>
        <w:jc w:val="center"/>
        <w:rPr/>
      </w:pPr>
      <w:r>
        <w:rPr>
          <w:i/>
        </w:rPr>
        <w:t>Figure 7 – IRR Sensitivity</w:t>
      </w:r>
    </w:p>
    <w:p>
      <w:pPr>
        <w:pStyle w:val="Normal"/>
        <w:jc w:val="left"/>
        <w:rPr>
          <w:i/>
          <w:i/>
        </w:rPr>
      </w:pPr>
      <w:r>
        <w:rPr>
          <w:i/>
        </w:rPr>
      </w:r>
    </w:p>
    <w:p>
      <w:pPr>
        <w:pStyle w:val="Heading3"/>
        <w:spacing w:before="200" w:after="283"/>
        <w:jc w:val="left"/>
        <w:rPr/>
      </w:pPr>
      <w:r>
        <w:rPr>
          <w:i/>
        </w:rPr>
        <w:t>Key View</w:t>
      </w:r>
    </w:p>
    <w:p>
      <w:pPr>
        <w:pStyle w:val="BodyText"/>
        <w:rPr/>
      </w:pPr>
      <w:r>
        <w:rPr/>
        <w:t>The IRR sensitivity analysis demonstrates Terra Vita’s resilience across funding and operational conditions. Even in the downside case, the venture remains viable, with IRR above 15% and payback within 3.2 years. The upside scenario reflects accelerated retreat uptake and oil yield optimization, pushing IRR to 28%.</w:t>
      </w:r>
    </w:p>
    <w:p>
      <w:pPr>
        <w:pStyle w:val="Heading3"/>
        <w:spacing w:before="200" w:after="283"/>
        <w:rPr/>
      </w:pPr>
      <w:r>
        <w:rPr/>
        <w:t xml:space="preserve">📊 </w:t>
      </w:r>
      <w:r>
        <w:rPr/>
        <w:t>Visual – Figure 7: IRR Sensitivity Chart</w:t>
      </w:r>
    </w:p>
    <w:tbl>
      <w:tblPr>
        <w:tblW w:w="3336" w:type="dxa"/>
        <w:jc w:val="left"/>
        <w:tblInd w:w="28" w:type="dxa"/>
        <w:tblLayout w:type="fixed"/>
        <w:tblCellMar>
          <w:top w:w="28" w:type="dxa"/>
          <w:left w:w="28" w:type="dxa"/>
          <w:bottom w:w="28" w:type="dxa"/>
          <w:right w:w="28" w:type="dxa"/>
        </w:tblCellMar>
      </w:tblPr>
      <w:tblGrid>
        <w:gridCol w:w="1059"/>
        <w:gridCol w:w="546"/>
        <w:gridCol w:w="1731"/>
      </w:tblGrid>
      <w:tr>
        <w:trPr>
          <w:tblHeader w:val="true"/>
        </w:trPr>
        <w:tc>
          <w:tcPr>
            <w:tcW w:w="1059" w:type="dxa"/>
            <w:tcBorders/>
            <w:vAlign w:val="center"/>
          </w:tcPr>
          <w:p>
            <w:pPr>
              <w:pStyle w:val="Tabelkop"/>
              <w:suppressLineNumbers/>
              <w:spacing w:before="0" w:after="200"/>
              <w:jc w:val="center"/>
              <w:rPr/>
            </w:pPr>
            <w:r>
              <w:rPr/>
              <w:t>Scenario</w:t>
            </w:r>
          </w:p>
        </w:tc>
        <w:tc>
          <w:tcPr>
            <w:tcW w:w="546" w:type="dxa"/>
            <w:tcBorders/>
            <w:vAlign w:val="center"/>
          </w:tcPr>
          <w:p>
            <w:pPr>
              <w:pStyle w:val="Tabelkop"/>
              <w:suppressLineNumbers/>
              <w:spacing w:before="0" w:after="200"/>
              <w:jc w:val="center"/>
              <w:rPr/>
            </w:pPr>
            <w:r>
              <w:rPr/>
              <w:t>IRR</w:t>
            </w:r>
          </w:p>
        </w:tc>
        <w:tc>
          <w:tcPr>
            <w:tcW w:w="1731" w:type="dxa"/>
            <w:tcBorders/>
            <w:vAlign w:val="center"/>
          </w:tcPr>
          <w:p>
            <w:pPr>
              <w:pStyle w:val="Tabelkop"/>
              <w:suppressLineNumbers/>
              <w:spacing w:before="0" w:after="200"/>
              <w:jc w:val="center"/>
              <w:rPr/>
            </w:pPr>
            <w:r>
              <w:rPr/>
              <w:t>Payback Period</w:t>
            </w:r>
          </w:p>
        </w:tc>
      </w:tr>
      <w:tr>
        <w:trPr/>
        <w:tc>
          <w:tcPr>
            <w:tcW w:w="1059" w:type="dxa"/>
            <w:tcBorders/>
            <w:vAlign w:val="center"/>
          </w:tcPr>
          <w:p>
            <w:pPr>
              <w:pStyle w:val="Inhoudtabel"/>
              <w:widowControl w:val="false"/>
              <w:suppressLineNumbers/>
              <w:spacing w:before="0" w:after="200"/>
              <w:rPr/>
            </w:pPr>
            <w:r>
              <w:rPr/>
              <w:t>Downside</w:t>
            </w:r>
          </w:p>
        </w:tc>
        <w:tc>
          <w:tcPr>
            <w:tcW w:w="546" w:type="dxa"/>
            <w:tcBorders/>
            <w:vAlign w:val="center"/>
          </w:tcPr>
          <w:p>
            <w:pPr>
              <w:pStyle w:val="Inhoudtabel"/>
              <w:widowControl w:val="false"/>
              <w:suppressLineNumbers/>
              <w:spacing w:before="0" w:after="200"/>
              <w:rPr/>
            </w:pPr>
            <w:r>
              <w:rPr/>
              <w:t>16%</w:t>
            </w:r>
          </w:p>
        </w:tc>
        <w:tc>
          <w:tcPr>
            <w:tcW w:w="1731" w:type="dxa"/>
            <w:tcBorders/>
            <w:vAlign w:val="center"/>
          </w:tcPr>
          <w:p>
            <w:pPr>
              <w:pStyle w:val="Inhoudtabel"/>
              <w:widowControl w:val="false"/>
              <w:suppressLineNumbers/>
              <w:spacing w:before="0" w:after="200"/>
              <w:rPr/>
            </w:pPr>
            <w:r>
              <w:rPr/>
              <w:t>3.2 years</w:t>
            </w:r>
          </w:p>
        </w:tc>
      </w:tr>
      <w:tr>
        <w:trPr/>
        <w:tc>
          <w:tcPr>
            <w:tcW w:w="1059" w:type="dxa"/>
            <w:tcBorders/>
            <w:vAlign w:val="center"/>
          </w:tcPr>
          <w:p>
            <w:pPr>
              <w:pStyle w:val="Inhoudtabel"/>
              <w:widowControl w:val="false"/>
              <w:suppressLineNumbers/>
              <w:spacing w:before="0" w:after="200"/>
              <w:rPr/>
            </w:pPr>
            <w:r>
              <w:rPr/>
              <w:t>Base Case</w:t>
            </w:r>
          </w:p>
        </w:tc>
        <w:tc>
          <w:tcPr>
            <w:tcW w:w="546" w:type="dxa"/>
            <w:tcBorders/>
            <w:vAlign w:val="center"/>
          </w:tcPr>
          <w:p>
            <w:pPr>
              <w:pStyle w:val="Inhoudtabel"/>
              <w:widowControl w:val="false"/>
              <w:suppressLineNumbers/>
              <w:spacing w:before="0" w:after="200"/>
              <w:rPr/>
            </w:pPr>
            <w:r>
              <w:rPr/>
              <w:t>22%</w:t>
            </w:r>
          </w:p>
        </w:tc>
        <w:tc>
          <w:tcPr>
            <w:tcW w:w="1731" w:type="dxa"/>
            <w:tcBorders/>
            <w:vAlign w:val="center"/>
          </w:tcPr>
          <w:p>
            <w:pPr>
              <w:pStyle w:val="Inhoudtabel"/>
              <w:widowControl w:val="false"/>
              <w:suppressLineNumbers/>
              <w:spacing w:before="0" w:after="200"/>
              <w:rPr/>
            </w:pPr>
            <w:r>
              <w:rPr/>
              <w:t>1.9 years</w:t>
            </w:r>
          </w:p>
        </w:tc>
      </w:tr>
      <w:tr>
        <w:trPr/>
        <w:tc>
          <w:tcPr>
            <w:tcW w:w="1059" w:type="dxa"/>
            <w:tcBorders/>
            <w:vAlign w:val="center"/>
          </w:tcPr>
          <w:p>
            <w:pPr>
              <w:pStyle w:val="Inhoudtabel"/>
              <w:widowControl w:val="false"/>
              <w:suppressLineNumbers/>
              <w:spacing w:before="0" w:after="200"/>
              <w:rPr/>
            </w:pPr>
            <w:r>
              <w:rPr/>
              <w:t>Upside</w:t>
            </w:r>
          </w:p>
        </w:tc>
        <w:tc>
          <w:tcPr>
            <w:tcW w:w="546" w:type="dxa"/>
            <w:tcBorders/>
            <w:vAlign w:val="center"/>
          </w:tcPr>
          <w:p>
            <w:pPr>
              <w:pStyle w:val="Inhoudtabel"/>
              <w:widowControl w:val="false"/>
              <w:suppressLineNumbers/>
              <w:spacing w:before="0" w:after="200"/>
              <w:rPr/>
            </w:pPr>
            <w:r>
              <w:rPr/>
              <w:t>28%</w:t>
            </w:r>
          </w:p>
        </w:tc>
        <w:tc>
          <w:tcPr>
            <w:tcW w:w="1731" w:type="dxa"/>
            <w:tcBorders/>
            <w:vAlign w:val="center"/>
          </w:tcPr>
          <w:p>
            <w:pPr>
              <w:pStyle w:val="Inhoudtabel"/>
              <w:widowControl w:val="false"/>
              <w:suppressLineNumbers/>
              <w:spacing w:before="0" w:after="200"/>
              <w:rPr/>
            </w:pPr>
            <w:r>
              <w:rPr/>
              <w:t>1.5 years</w:t>
            </w:r>
          </w:p>
        </w:tc>
      </w:tr>
    </w:tbl>
    <w:p>
      <w:pPr>
        <w:pStyle w:val="BodyText"/>
        <w:rPr>
          <w:rStyle w:val="Emphasis"/>
        </w:rPr>
      </w:pPr>
      <w:r>
        <w:rPr/>
      </w:r>
    </w:p>
    <w:p>
      <w:pPr>
        <w:pStyle w:val="BodyText"/>
        <w:rPr/>
      </w:pPr>
      <w:r>
        <w:rPr>
          <w:rStyle w:val="Emphasis"/>
        </w:rPr>
        <w:t>(See Annex B – IRR Sensitivity for full modeling logic and assumptions)</w:t>
      </w:r>
    </w:p>
    <w:p>
      <w:pPr>
        <w:pStyle w:val="Heading3"/>
        <w:spacing w:before="200" w:after="283"/>
        <w:rPr/>
      </w:pPr>
      <w:r>
        <w:rPr/>
        <w:t xml:space="preserve">💡 </w:t>
      </w:r>
      <w:r>
        <w:rPr/>
        <w:t>Investor Takeaway</w:t>
      </w:r>
    </w:p>
    <w:p>
      <w:pPr>
        <w:pStyle w:val="BodyText"/>
        <w:rPr/>
      </w:pPr>
      <w:r>
        <w:rPr/>
        <w:t>Terra Vita’s IRR profile is robust, even under conservative assumptions. The sensitivity analysis offers transparency, credibility, and confidence—showing investors how returns flex under real-world conditions. With land-backed security and ESG upside, Terra Vita delivers both resilience and reward.</w:t>
      </w:r>
    </w:p>
    <w:p>
      <w:pPr>
        <w:pStyle w:val="Normal"/>
        <w:jc w:val="left"/>
        <w:rPr>
          <w:i/>
          <w:i/>
        </w:rPr>
      </w:pPr>
      <w:r>
        <w:rPr>
          <w:i/>
        </w:rPr>
      </w:r>
    </w:p>
    <w:p>
      <w:pPr>
        <w:pStyle w:val="Normal"/>
        <w:rPr/>
      </w:pPr>
      <w:r>
        <w:rPr/>
      </w:r>
      <w:r>
        <w:br w:type="page"/>
      </w:r>
    </w:p>
    <w:p>
      <w:pPr>
        <w:pStyle w:val="Heading1"/>
        <w:spacing w:before="0" w:after="0"/>
        <w:rPr/>
      </w:pPr>
      <w:r>
        <w:rPr/>
        <w:t>KPI Dashboard</w:t>
      </w:r>
    </w:p>
    <w:p>
      <w:pPr>
        <w:pStyle w:val="Normal"/>
        <w:spacing w:before="0" w:after="0"/>
        <w:rPr/>
      </w:pPr>
      <w:r>
        <w:rPr/>
      </w:r>
    </w:p>
    <w:p>
      <w:pPr>
        <w:pStyle w:val="Heading3"/>
        <w:spacing w:before="0" w:after="0"/>
        <w:rPr/>
      </w:pPr>
      <w:r>
        <w:rPr/>
        <w:t xml:space="preserve">🔬 </w:t>
      </w:r>
      <w:r>
        <w:rPr/>
        <w:t>Methodology</w:t>
      </w:r>
    </w:p>
    <w:p>
      <w:pPr>
        <w:pStyle w:val="BodyText"/>
        <w:rPr/>
      </w:pPr>
      <w:r>
        <w:rPr/>
        <w:t>Terra Vita’s Key Performance Indicators (KPIs) are modeled from pre-launch assumptions and benchmarked against comparable regenerative agriculture and eco-hospitality ventures. Metrics were selected based on investor relevance, ESG alignment, and operational clarity. All figures reflect cumulative progress over a 5-year horizon, with Year 1 activation and Year 2 scaling.</w:t>
      </w:r>
    </w:p>
    <w:p>
      <w:pPr>
        <w:pStyle w:val="BodyText"/>
        <w:rPr/>
      </w:pPr>
      <w:r>
        <w:rPr>
          <w:rStyle w:val="Strong"/>
        </w:rPr>
        <w:t>Data Sources &amp; Assumptions:</w:t>
      </w:r>
    </w:p>
    <w:p>
      <w:pPr>
        <w:pStyle w:val="BodyText"/>
        <w:numPr>
          <w:ilvl w:val="0"/>
          <w:numId w:val="24"/>
        </w:numPr>
        <w:tabs>
          <w:tab w:val="clear" w:pos="720"/>
          <w:tab w:val="left" w:pos="0" w:leader="none"/>
        </w:tabs>
        <w:ind w:hanging="283" w:left="709"/>
        <w:rPr/>
      </w:pPr>
      <w:r>
        <w:rPr/>
        <w:t>Internal financial models (see Annex A)</w:t>
      </w:r>
    </w:p>
    <w:p>
      <w:pPr>
        <w:pStyle w:val="BodyText"/>
        <w:numPr>
          <w:ilvl w:val="0"/>
          <w:numId w:val="24"/>
        </w:numPr>
        <w:tabs>
          <w:tab w:val="clear" w:pos="720"/>
          <w:tab w:val="left" w:pos="0" w:leader="none"/>
        </w:tabs>
        <w:ind w:hanging="283" w:left="709"/>
        <w:rPr/>
      </w:pPr>
      <w:r>
        <w:rPr/>
        <w:t>IRR sensitivity logic (see Annex B)</w:t>
      </w:r>
    </w:p>
    <w:p>
      <w:pPr>
        <w:pStyle w:val="BodyText"/>
        <w:numPr>
          <w:ilvl w:val="0"/>
          <w:numId w:val="24"/>
        </w:numPr>
        <w:tabs>
          <w:tab w:val="clear" w:pos="720"/>
          <w:tab w:val="left" w:pos="0" w:leader="none"/>
        </w:tabs>
        <w:ind w:hanging="283" w:left="709"/>
        <w:rPr/>
      </w:pPr>
      <w:r>
        <w:rPr/>
        <w:t>ESG impact metrics (see Annex C &amp; G)</w:t>
      </w:r>
    </w:p>
    <w:p>
      <w:pPr>
        <w:pStyle w:val="BodyText"/>
        <w:numPr>
          <w:ilvl w:val="0"/>
          <w:numId w:val="24"/>
        </w:numPr>
        <w:tabs>
          <w:tab w:val="clear" w:pos="720"/>
          <w:tab w:val="left" w:pos="0" w:leader="none"/>
        </w:tabs>
        <w:ind w:hanging="283" w:left="709"/>
        <w:rPr/>
      </w:pPr>
      <w:r>
        <w:rPr/>
        <w:t>Funding scenarios (see Annex E)</w:t>
      </w:r>
    </w:p>
    <w:p>
      <w:pPr>
        <w:pStyle w:val="BodyText"/>
        <w:numPr>
          <w:ilvl w:val="0"/>
          <w:numId w:val="24"/>
        </w:numPr>
        <w:tabs>
          <w:tab w:val="clear" w:pos="720"/>
          <w:tab w:val="left" w:pos="0" w:leader="none"/>
        </w:tabs>
        <w:ind w:hanging="283" w:left="709"/>
        <w:rPr/>
      </w:pPr>
      <w:r>
        <w:rPr/>
        <w:t>Carbon credit calculators and agroforestry benchmarks</w:t>
      </w:r>
    </w:p>
    <w:p>
      <w:pPr>
        <w:pStyle w:val="BodyText"/>
        <w:rPr/>
      </w:pPr>
      <w:r>
        <w:rPr/>
        <w:t>Each KPI is tracked across three dimensions: financial performance, ecosystem restoration, and community activation.</w:t>
      </w:r>
    </w:p>
    <w:p>
      <w:pPr>
        <w:pStyle w:val="Heading3"/>
        <w:spacing w:before="200" w:after="283"/>
        <w:rPr/>
      </w:pPr>
      <w:r>
        <w:rPr/>
        <w:t>Visual – Figure 4: Funding KPI Snapshot</w:t>
      </w:r>
    </w:p>
    <w:tbl>
      <w:tblPr>
        <w:tblW w:w="7834" w:type="dxa"/>
        <w:jc w:val="left"/>
        <w:tblInd w:w="28" w:type="dxa"/>
        <w:tblLayout w:type="fixed"/>
        <w:tblCellMar>
          <w:top w:w="28" w:type="dxa"/>
          <w:left w:w="28" w:type="dxa"/>
          <w:bottom w:w="28" w:type="dxa"/>
          <w:right w:w="28" w:type="dxa"/>
        </w:tblCellMar>
      </w:tblPr>
      <w:tblGrid>
        <w:gridCol w:w="1638"/>
        <w:gridCol w:w="2532"/>
        <w:gridCol w:w="1606"/>
        <w:gridCol w:w="2057"/>
      </w:tblGrid>
      <w:tr>
        <w:trPr>
          <w:tblHeader w:val="true"/>
        </w:trPr>
        <w:tc>
          <w:tcPr>
            <w:tcW w:w="1638" w:type="dxa"/>
            <w:tcBorders/>
            <w:vAlign w:val="center"/>
          </w:tcPr>
          <w:p>
            <w:pPr>
              <w:pStyle w:val="Tabelkop"/>
              <w:suppressLineNumbers/>
              <w:spacing w:before="0" w:after="200"/>
              <w:jc w:val="center"/>
              <w:rPr/>
            </w:pPr>
            <w:r>
              <w:rPr/>
              <w:t>KPI Category</w:t>
            </w:r>
          </w:p>
        </w:tc>
        <w:tc>
          <w:tcPr>
            <w:tcW w:w="2532" w:type="dxa"/>
            <w:tcBorders/>
            <w:vAlign w:val="center"/>
          </w:tcPr>
          <w:p>
            <w:pPr>
              <w:pStyle w:val="Tabelkop"/>
              <w:suppressLineNumbers/>
              <w:spacing w:before="0" w:after="200"/>
              <w:jc w:val="center"/>
              <w:rPr/>
            </w:pPr>
            <w:r>
              <w:rPr/>
              <w:t>Metric</w:t>
            </w:r>
          </w:p>
        </w:tc>
        <w:tc>
          <w:tcPr>
            <w:tcW w:w="1606" w:type="dxa"/>
            <w:tcBorders/>
            <w:vAlign w:val="center"/>
          </w:tcPr>
          <w:p>
            <w:pPr>
              <w:pStyle w:val="Tabelkop"/>
              <w:suppressLineNumbers/>
              <w:spacing w:before="0" w:after="200"/>
              <w:jc w:val="center"/>
              <w:rPr/>
            </w:pPr>
            <w:r>
              <w:rPr/>
              <w:t>Year 5 Target</w:t>
            </w:r>
          </w:p>
        </w:tc>
        <w:tc>
          <w:tcPr>
            <w:tcW w:w="2057" w:type="dxa"/>
            <w:tcBorders/>
            <w:vAlign w:val="center"/>
          </w:tcPr>
          <w:p>
            <w:pPr>
              <w:pStyle w:val="Tabelkop"/>
              <w:suppressLineNumbers/>
              <w:spacing w:before="0" w:after="200"/>
              <w:jc w:val="center"/>
              <w:rPr/>
            </w:pPr>
            <w:r>
              <w:rPr/>
              <w:t>Cumulative Impact</w:t>
            </w:r>
          </w:p>
        </w:tc>
      </w:tr>
      <w:tr>
        <w:trPr/>
        <w:tc>
          <w:tcPr>
            <w:tcW w:w="1638" w:type="dxa"/>
            <w:tcBorders/>
            <w:vAlign w:val="center"/>
          </w:tcPr>
          <w:p>
            <w:pPr>
              <w:pStyle w:val="Inhoudtabel"/>
              <w:widowControl w:val="false"/>
              <w:suppressLineNumbers/>
              <w:spacing w:before="0" w:after="200"/>
              <w:rPr/>
            </w:pPr>
            <w:r>
              <w:rPr>
                <w:rStyle w:val="Strong"/>
              </w:rPr>
              <w:t>Financial</w:t>
            </w:r>
          </w:p>
        </w:tc>
        <w:tc>
          <w:tcPr>
            <w:tcW w:w="2532" w:type="dxa"/>
            <w:tcBorders/>
            <w:vAlign w:val="center"/>
          </w:tcPr>
          <w:p>
            <w:pPr>
              <w:pStyle w:val="Inhoudtabel"/>
              <w:widowControl w:val="false"/>
              <w:suppressLineNumbers/>
              <w:spacing w:before="0" w:after="200"/>
              <w:rPr/>
            </w:pPr>
            <w:r>
              <w:rPr/>
              <w:t>IRR</w:t>
            </w:r>
          </w:p>
        </w:tc>
        <w:tc>
          <w:tcPr>
            <w:tcW w:w="1606" w:type="dxa"/>
            <w:tcBorders/>
            <w:vAlign w:val="center"/>
          </w:tcPr>
          <w:p>
            <w:pPr>
              <w:pStyle w:val="Inhoudtabel"/>
              <w:widowControl w:val="false"/>
              <w:suppressLineNumbers/>
              <w:spacing w:before="0" w:after="200"/>
              <w:rPr/>
            </w:pPr>
            <w:r>
              <w:rPr/>
              <w:t>25%</w:t>
            </w:r>
          </w:p>
        </w:tc>
        <w:tc>
          <w:tcPr>
            <w:tcW w:w="2057" w:type="dxa"/>
            <w:tcBorders/>
            <w:vAlign w:val="center"/>
          </w:tcPr>
          <w:p>
            <w:pPr>
              <w:pStyle w:val="Inhoudtabel"/>
              <w:widowControl w:val="false"/>
              <w:suppressLineNumbers/>
              <w:spacing w:before="0" w:after="200"/>
              <w:rPr/>
            </w:pPr>
            <w:r>
              <w:rPr/>
              <w:t>ROI 2.8×</w:t>
            </w:r>
          </w:p>
        </w:tc>
      </w:tr>
      <w:tr>
        <w:trPr/>
        <w:tc>
          <w:tcPr>
            <w:tcW w:w="1638" w:type="dxa"/>
            <w:tcBorders/>
            <w:vAlign w:val="center"/>
          </w:tcPr>
          <w:p>
            <w:pPr>
              <w:pStyle w:val="Inhoudtabel"/>
              <w:spacing w:before="0" w:after="200"/>
              <w:rPr>
                <w:sz w:val="4"/>
                <w:szCs w:val="4"/>
              </w:rPr>
            </w:pPr>
            <w:r>
              <w:rPr>
                <w:sz w:val="4"/>
                <w:szCs w:val="4"/>
              </w:rPr>
            </w:r>
          </w:p>
        </w:tc>
        <w:tc>
          <w:tcPr>
            <w:tcW w:w="2532" w:type="dxa"/>
            <w:tcBorders/>
            <w:vAlign w:val="center"/>
          </w:tcPr>
          <w:p>
            <w:pPr>
              <w:pStyle w:val="Inhoudtabel"/>
              <w:widowControl w:val="false"/>
              <w:suppressLineNumbers/>
              <w:spacing w:before="0" w:after="200"/>
              <w:rPr/>
            </w:pPr>
            <w:r>
              <w:rPr/>
              <w:t>Revenue</w:t>
            </w:r>
          </w:p>
        </w:tc>
        <w:tc>
          <w:tcPr>
            <w:tcW w:w="1606" w:type="dxa"/>
            <w:tcBorders/>
            <w:vAlign w:val="center"/>
          </w:tcPr>
          <w:p>
            <w:pPr>
              <w:pStyle w:val="Inhoudtabel"/>
              <w:widowControl w:val="false"/>
              <w:suppressLineNumbers/>
              <w:spacing w:before="0" w:after="200"/>
              <w:rPr/>
            </w:pPr>
            <w:r>
              <w:rPr/>
              <w:t>€</w:t>
            </w:r>
            <w:r>
              <w:rPr/>
              <w:t>600,000</w:t>
            </w:r>
          </w:p>
        </w:tc>
        <w:tc>
          <w:tcPr>
            <w:tcW w:w="2057" w:type="dxa"/>
            <w:tcBorders/>
            <w:vAlign w:val="center"/>
          </w:tcPr>
          <w:p>
            <w:pPr>
              <w:pStyle w:val="Inhoudtabel"/>
              <w:spacing w:before="0" w:after="200"/>
              <w:rPr>
                <w:sz w:val="4"/>
                <w:szCs w:val="4"/>
              </w:rPr>
            </w:pPr>
            <w:r>
              <w:rPr>
                <w:sz w:val="4"/>
                <w:szCs w:val="4"/>
              </w:rPr>
            </w:r>
          </w:p>
        </w:tc>
      </w:tr>
      <w:tr>
        <w:trPr/>
        <w:tc>
          <w:tcPr>
            <w:tcW w:w="1638" w:type="dxa"/>
            <w:tcBorders/>
            <w:vAlign w:val="center"/>
          </w:tcPr>
          <w:p>
            <w:pPr>
              <w:pStyle w:val="Inhoudtabel"/>
              <w:spacing w:before="0" w:after="200"/>
              <w:rPr>
                <w:sz w:val="4"/>
                <w:szCs w:val="4"/>
              </w:rPr>
            </w:pPr>
            <w:r>
              <w:rPr>
                <w:sz w:val="4"/>
                <w:szCs w:val="4"/>
              </w:rPr>
            </w:r>
          </w:p>
        </w:tc>
        <w:tc>
          <w:tcPr>
            <w:tcW w:w="2532" w:type="dxa"/>
            <w:tcBorders/>
            <w:vAlign w:val="center"/>
          </w:tcPr>
          <w:p>
            <w:pPr>
              <w:pStyle w:val="Inhoudtabel"/>
              <w:widowControl w:val="false"/>
              <w:suppressLineNumbers/>
              <w:spacing w:before="0" w:after="200"/>
              <w:rPr/>
            </w:pPr>
            <w:r>
              <w:rPr/>
              <w:t>EBITDA</w:t>
            </w:r>
          </w:p>
        </w:tc>
        <w:tc>
          <w:tcPr>
            <w:tcW w:w="1606" w:type="dxa"/>
            <w:tcBorders/>
            <w:vAlign w:val="center"/>
          </w:tcPr>
          <w:p>
            <w:pPr>
              <w:pStyle w:val="Inhoudtabel"/>
              <w:widowControl w:val="false"/>
              <w:suppressLineNumbers/>
              <w:spacing w:before="0" w:after="200"/>
              <w:rPr/>
            </w:pPr>
            <w:r>
              <w:rPr/>
              <w:t>€</w:t>
            </w:r>
            <w:r>
              <w:rPr/>
              <w:t>280,000</w:t>
            </w:r>
          </w:p>
        </w:tc>
        <w:tc>
          <w:tcPr>
            <w:tcW w:w="2057" w:type="dxa"/>
            <w:tcBorders/>
            <w:vAlign w:val="center"/>
          </w:tcPr>
          <w:p>
            <w:pPr>
              <w:pStyle w:val="Inhoudtabel"/>
              <w:spacing w:before="0" w:after="200"/>
              <w:rPr>
                <w:sz w:val="4"/>
                <w:szCs w:val="4"/>
              </w:rPr>
            </w:pPr>
            <w:r>
              <w:rPr>
                <w:sz w:val="4"/>
                <w:szCs w:val="4"/>
              </w:rPr>
            </w:r>
          </w:p>
        </w:tc>
      </w:tr>
      <w:tr>
        <w:trPr/>
        <w:tc>
          <w:tcPr>
            <w:tcW w:w="1638" w:type="dxa"/>
            <w:tcBorders/>
            <w:vAlign w:val="center"/>
          </w:tcPr>
          <w:p>
            <w:pPr>
              <w:pStyle w:val="Inhoudtabel"/>
              <w:widowControl w:val="false"/>
              <w:suppressLineNumbers/>
              <w:spacing w:before="0" w:after="200"/>
              <w:rPr/>
            </w:pPr>
            <w:r>
              <w:rPr>
                <w:rStyle w:val="Strong"/>
              </w:rPr>
              <w:t>Social</w:t>
            </w:r>
          </w:p>
        </w:tc>
        <w:tc>
          <w:tcPr>
            <w:tcW w:w="2532" w:type="dxa"/>
            <w:tcBorders/>
            <w:vAlign w:val="center"/>
          </w:tcPr>
          <w:p>
            <w:pPr>
              <w:pStyle w:val="Inhoudtabel"/>
              <w:widowControl w:val="false"/>
              <w:suppressLineNumbers/>
              <w:spacing w:before="0" w:after="200"/>
              <w:rPr/>
            </w:pPr>
            <w:r>
              <w:rPr/>
              <w:t>Jobs Created</w:t>
            </w:r>
          </w:p>
        </w:tc>
        <w:tc>
          <w:tcPr>
            <w:tcW w:w="1606" w:type="dxa"/>
            <w:tcBorders/>
            <w:vAlign w:val="center"/>
          </w:tcPr>
          <w:p>
            <w:pPr>
              <w:pStyle w:val="Inhoudtabel"/>
              <w:widowControl w:val="false"/>
              <w:suppressLineNumbers/>
              <w:spacing w:before="0" w:after="200"/>
              <w:rPr/>
            </w:pPr>
            <w:r>
              <w:rPr/>
              <w:t>20</w:t>
            </w:r>
          </w:p>
        </w:tc>
        <w:tc>
          <w:tcPr>
            <w:tcW w:w="2057" w:type="dxa"/>
            <w:tcBorders/>
            <w:vAlign w:val="center"/>
          </w:tcPr>
          <w:p>
            <w:pPr>
              <w:pStyle w:val="Inhoudtabel"/>
              <w:widowControl w:val="false"/>
              <w:suppressLineNumbers/>
              <w:spacing w:before="0" w:after="200"/>
              <w:rPr/>
            </w:pPr>
            <w:r>
              <w:rPr/>
              <w:t>75 (cumulative)</w:t>
            </w:r>
          </w:p>
        </w:tc>
      </w:tr>
      <w:tr>
        <w:trPr/>
        <w:tc>
          <w:tcPr>
            <w:tcW w:w="1638" w:type="dxa"/>
            <w:tcBorders/>
            <w:vAlign w:val="center"/>
          </w:tcPr>
          <w:p>
            <w:pPr>
              <w:pStyle w:val="Inhoudtabel"/>
              <w:spacing w:before="0" w:after="200"/>
              <w:rPr>
                <w:sz w:val="4"/>
                <w:szCs w:val="4"/>
              </w:rPr>
            </w:pPr>
            <w:r>
              <w:rPr>
                <w:sz w:val="4"/>
                <w:szCs w:val="4"/>
              </w:rPr>
            </w:r>
          </w:p>
        </w:tc>
        <w:tc>
          <w:tcPr>
            <w:tcW w:w="2532" w:type="dxa"/>
            <w:tcBorders/>
            <w:vAlign w:val="center"/>
          </w:tcPr>
          <w:p>
            <w:pPr>
              <w:pStyle w:val="Inhoudtabel"/>
              <w:widowControl w:val="false"/>
              <w:suppressLineNumbers/>
              <w:spacing w:before="0" w:after="200"/>
              <w:rPr/>
            </w:pPr>
            <w:r>
              <w:rPr/>
              <w:t>Workshops Delivered</w:t>
            </w:r>
          </w:p>
        </w:tc>
        <w:tc>
          <w:tcPr>
            <w:tcW w:w="1606" w:type="dxa"/>
            <w:tcBorders/>
            <w:vAlign w:val="center"/>
          </w:tcPr>
          <w:p>
            <w:pPr>
              <w:pStyle w:val="Inhoudtabel"/>
              <w:widowControl w:val="false"/>
              <w:suppressLineNumbers/>
              <w:spacing w:before="0" w:after="200"/>
              <w:rPr/>
            </w:pPr>
            <w:r>
              <w:rPr/>
              <w:t>3/year</w:t>
            </w:r>
          </w:p>
        </w:tc>
        <w:tc>
          <w:tcPr>
            <w:tcW w:w="2057" w:type="dxa"/>
            <w:tcBorders/>
            <w:vAlign w:val="center"/>
          </w:tcPr>
          <w:p>
            <w:pPr>
              <w:pStyle w:val="Inhoudtabel"/>
              <w:widowControl w:val="false"/>
              <w:suppressLineNumbers/>
              <w:spacing w:before="0" w:after="200"/>
              <w:rPr/>
            </w:pPr>
            <w:r>
              <w:rPr/>
              <w:t>15+</w:t>
            </w:r>
          </w:p>
        </w:tc>
      </w:tr>
      <w:tr>
        <w:trPr/>
        <w:tc>
          <w:tcPr>
            <w:tcW w:w="1638" w:type="dxa"/>
            <w:tcBorders/>
            <w:vAlign w:val="center"/>
          </w:tcPr>
          <w:p>
            <w:pPr>
              <w:pStyle w:val="Inhoudtabel"/>
              <w:widowControl w:val="false"/>
              <w:suppressLineNumbers/>
              <w:spacing w:before="0" w:after="200"/>
              <w:rPr/>
            </w:pPr>
            <w:r>
              <w:rPr>
                <w:rStyle w:val="Strong"/>
              </w:rPr>
              <w:t>Environmental</w:t>
            </w:r>
          </w:p>
        </w:tc>
        <w:tc>
          <w:tcPr>
            <w:tcW w:w="2532" w:type="dxa"/>
            <w:tcBorders/>
            <w:vAlign w:val="center"/>
          </w:tcPr>
          <w:p>
            <w:pPr>
              <w:pStyle w:val="Inhoudtabel"/>
              <w:widowControl w:val="false"/>
              <w:suppressLineNumbers/>
              <w:spacing w:before="0" w:after="200"/>
              <w:rPr/>
            </w:pPr>
            <w:r>
              <w:rPr/>
              <w:t>Land Restored</w:t>
            </w:r>
          </w:p>
        </w:tc>
        <w:tc>
          <w:tcPr>
            <w:tcW w:w="1606" w:type="dxa"/>
            <w:tcBorders/>
            <w:vAlign w:val="center"/>
          </w:tcPr>
          <w:p>
            <w:pPr>
              <w:pStyle w:val="Inhoudtabel"/>
              <w:widowControl w:val="false"/>
              <w:suppressLineNumbers/>
              <w:spacing w:before="0" w:after="200"/>
              <w:rPr/>
            </w:pPr>
            <w:r>
              <w:rPr/>
              <w:t>5 ha</w:t>
            </w:r>
          </w:p>
        </w:tc>
        <w:tc>
          <w:tcPr>
            <w:tcW w:w="2057" w:type="dxa"/>
            <w:tcBorders/>
            <w:vAlign w:val="center"/>
          </w:tcPr>
          <w:p>
            <w:pPr>
              <w:pStyle w:val="Inhoudtabel"/>
              <w:widowControl w:val="false"/>
              <w:suppressLineNumbers/>
              <w:spacing w:before="0" w:after="200"/>
              <w:rPr/>
            </w:pPr>
            <w:r>
              <w:rPr/>
              <w:t>17.7 ha</w:t>
            </w:r>
          </w:p>
        </w:tc>
      </w:tr>
      <w:tr>
        <w:trPr/>
        <w:tc>
          <w:tcPr>
            <w:tcW w:w="1638" w:type="dxa"/>
            <w:tcBorders/>
            <w:vAlign w:val="center"/>
          </w:tcPr>
          <w:p>
            <w:pPr>
              <w:pStyle w:val="Inhoudtabel"/>
              <w:spacing w:before="0" w:after="200"/>
              <w:rPr>
                <w:sz w:val="4"/>
                <w:szCs w:val="4"/>
              </w:rPr>
            </w:pPr>
            <w:r>
              <w:rPr>
                <w:sz w:val="4"/>
                <w:szCs w:val="4"/>
              </w:rPr>
            </w:r>
          </w:p>
        </w:tc>
        <w:tc>
          <w:tcPr>
            <w:tcW w:w="2532" w:type="dxa"/>
            <w:tcBorders/>
            <w:vAlign w:val="center"/>
          </w:tcPr>
          <w:p>
            <w:pPr>
              <w:pStyle w:val="Inhoudtabel"/>
              <w:widowControl w:val="false"/>
              <w:suppressLineNumbers/>
              <w:spacing w:before="0" w:after="200"/>
              <w:rPr/>
            </w:pPr>
            <w:r>
              <w:rPr/>
              <w:t>Carbon Credits Generated</w:t>
            </w:r>
          </w:p>
        </w:tc>
        <w:tc>
          <w:tcPr>
            <w:tcW w:w="1606" w:type="dxa"/>
            <w:tcBorders/>
            <w:vAlign w:val="center"/>
          </w:tcPr>
          <w:p>
            <w:pPr>
              <w:pStyle w:val="Inhoudtabel"/>
              <w:widowControl w:val="false"/>
              <w:suppressLineNumbers/>
              <w:spacing w:before="0" w:after="200"/>
              <w:rPr/>
            </w:pPr>
            <w:r>
              <w:rPr/>
              <w:t>1,000 tons CO₂e</w:t>
            </w:r>
          </w:p>
        </w:tc>
        <w:tc>
          <w:tcPr>
            <w:tcW w:w="2057" w:type="dxa"/>
            <w:tcBorders/>
            <w:vAlign w:val="center"/>
          </w:tcPr>
          <w:p>
            <w:pPr>
              <w:pStyle w:val="Inhoudtabel"/>
              <w:spacing w:before="0" w:after="200"/>
              <w:rPr>
                <w:sz w:val="4"/>
                <w:szCs w:val="4"/>
              </w:rPr>
            </w:pPr>
            <w:r>
              <w:rPr>
                <w:sz w:val="4"/>
                <w:szCs w:val="4"/>
              </w:rPr>
            </w:r>
          </w:p>
        </w:tc>
      </w:tr>
    </w:tbl>
    <w:p>
      <w:pPr>
        <w:pStyle w:val="Normal"/>
        <w:jc w:val="center"/>
        <w:rPr/>
      </w:pPr>
      <w:r>
        <w:rPr>
          <w:rStyle w:val="Emphasis"/>
          <w:i/>
        </w:rPr>
        <w:t>Figure 4 – Funding KPI Snapshot</w:t>
      </w:r>
    </w:p>
    <w:p>
      <w:pPr>
        <w:pStyle w:val="BodyText"/>
        <w:rPr/>
      </w:pPr>
      <w:r>
        <w:rPr>
          <w:rStyle w:val="Emphasis"/>
        </w:rPr>
        <w:t>(See also: Annex F – Dashboard for full progression logic)</w:t>
      </w:r>
    </w:p>
    <w:p>
      <w:pPr>
        <w:pStyle w:val="BodyText"/>
        <w:rPr/>
      </w:pPr>
      <w:r>
        <w:rPr/>
      </w:r>
    </w:p>
    <w:p>
      <w:pPr>
        <w:pStyle w:val="Heading3"/>
        <w:spacing w:before="200" w:after="283"/>
        <w:jc w:val="left"/>
        <w:rPr/>
      </w:pPr>
      <w:r>
        <w:rPr/>
        <w:t>Key View</w:t>
      </w:r>
    </w:p>
    <w:p>
      <w:pPr>
        <w:pStyle w:val="BodyText"/>
        <w:rPr/>
      </w:pPr>
      <w:r>
        <w:rPr/>
        <w:t>The dashboard provides a snapshot of Terra Vita’s triple-convergent progress—financial, ecological, and social. It enables investors to monitor IRR, job creation, land restoration, and carbon offset generation in one unified view. Metrics are cumulative and modular, allowing for scenario testing and ESG-linked reporting.</w:t>
      </w:r>
    </w:p>
    <w:p>
      <w:pPr>
        <w:pStyle w:val="Heading3"/>
        <w:spacing w:before="200" w:after="283"/>
        <w:jc w:val="left"/>
        <w:rPr/>
      </w:pPr>
      <w:r>
        <w:rPr/>
        <w:t>Investor Takeaway</w:t>
      </w:r>
    </w:p>
    <w:p>
      <w:pPr>
        <w:pStyle w:val="BodyText"/>
        <w:rPr/>
      </w:pPr>
      <w:r>
        <w:rPr/>
        <w:t>Terra Vita’s KPI dashboard offers clarity, credibility, and convergence. Investors gain visibility into financial returns, ESG outcomes, and community engagement—all backed by transparent metrics and visual proof. This positions Terra Vita for ESG-linked funding, impact reporting, and long-term reputational value.</w:t>
      </w:r>
    </w:p>
    <w:p>
      <w:pPr>
        <w:pStyle w:val="Normal"/>
        <w:jc w:val="left"/>
        <w:rPr/>
      </w:pPr>
      <w:r>
        <w:rPr/>
      </w:r>
    </w:p>
    <w:p>
      <w:pPr>
        <w:pStyle w:val="Normal"/>
        <w:jc w:val="center"/>
        <w:rPr/>
      </w:pPr>
      <w:r>
        <w:rPr/>
      </w:r>
    </w:p>
    <w:p>
      <w:pPr>
        <w:pStyle w:val="Normal"/>
        <w:jc w:val="center"/>
        <w:rPr/>
      </w:pPr>
      <w:r>
        <w:rPr/>
      </w:r>
    </w:p>
    <w:p>
      <w:pPr>
        <w:pStyle w:val="Normal"/>
        <w:jc w:val="center"/>
        <w:rPr/>
      </w:pPr>
      <w:r>
        <w:rPr/>
      </w:r>
    </w:p>
    <w:p>
      <w:pPr>
        <w:pStyle w:val="Normal"/>
        <w:jc w:val="center"/>
        <w:rPr/>
      </w:pPr>
      <w:r>
        <w:rPr/>
      </w:r>
    </w:p>
    <w:p>
      <w:pPr>
        <w:pStyle w:val="Normal"/>
        <w:jc w:val="center"/>
        <w:rPr>
          <w:i/>
          <w:i/>
        </w:rPr>
      </w:pPr>
      <w:r>
        <w:rPr>
          <w:i/>
        </w:rPr>
      </w:r>
    </w:p>
    <w:p>
      <w:pPr>
        <w:pStyle w:val="Normal"/>
        <w:rPr/>
      </w:pPr>
      <w:r>
        <w:rPr/>
      </w:r>
      <w:r>
        <w:br w:type="page"/>
      </w:r>
    </w:p>
    <w:p>
      <w:pPr>
        <w:pStyle w:val="Heading1"/>
        <w:spacing w:before="0" w:after="0"/>
        <w:rPr/>
      </w:pPr>
      <w:r>
        <w:rPr/>
        <w:t>ESG Impact</w:t>
      </w:r>
    </w:p>
    <w:p>
      <w:pPr>
        <w:pStyle w:val="Normal"/>
        <w:spacing w:before="0" w:after="0"/>
        <w:rPr/>
      </w:pPr>
      <w:r>
        <w:rPr/>
      </w:r>
    </w:p>
    <w:p>
      <w:pPr>
        <w:pStyle w:val="Heading3"/>
        <w:spacing w:before="0" w:after="0"/>
        <w:rPr/>
      </w:pPr>
      <w:r>
        <w:rPr/>
        <w:t xml:space="preserve">🔬 </w:t>
      </w:r>
      <w:r>
        <w:rPr/>
        <w:t>Methodology</w:t>
      </w:r>
    </w:p>
    <w:p>
      <w:pPr>
        <w:pStyle w:val="BodyText"/>
        <w:rPr/>
      </w:pPr>
      <w:r>
        <w:rPr/>
        <w:t>Terra Vita’s ESG impact model is built on place-based metrics, regenerative benchmarks, and SDG-aligned outcomes. All figures are derived from pre-launch feasibility studies, agroforestry data, and carbon offset calculators. Impact is measured across three dimensions:</w:t>
      </w:r>
    </w:p>
    <w:p>
      <w:pPr>
        <w:pStyle w:val="BodyText"/>
        <w:numPr>
          <w:ilvl w:val="0"/>
          <w:numId w:val="25"/>
        </w:numPr>
        <w:tabs>
          <w:tab w:val="clear" w:pos="720"/>
          <w:tab w:val="left" w:pos="0" w:leader="none"/>
        </w:tabs>
        <w:ind w:hanging="283" w:left="709"/>
        <w:rPr/>
      </w:pPr>
      <w:r>
        <w:rPr>
          <w:rStyle w:val="Strong"/>
        </w:rPr>
        <w:t>Environmental</w:t>
      </w:r>
      <w:r>
        <w:rPr/>
        <w:t>: Land restoration, carbon sequestration, biodiversity uplift.</w:t>
      </w:r>
    </w:p>
    <w:p>
      <w:pPr>
        <w:pStyle w:val="BodyText"/>
        <w:numPr>
          <w:ilvl w:val="0"/>
          <w:numId w:val="25"/>
        </w:numPr>
        <w:tabs>
          <w:tab w:val="clear" w:pos="720"/>
          <w:tab w:val="left" w:pos="0" w:leader="none"/>
        </w:tabs>
        <w:ind w:hanging="283" w:left="709"/>
        <w:rPr/>
      </w:pPr>
      <w:r>
        <w:rPr>
          <w:rStyle w:val="Strong"/>
        </w:rPr>
        <w:t>Social</w:t>
      </w:r>
      <w:r>
        <w:rPr/>
        <w:t>: Job creation, community workshops, pet wellness and mindset retreats.</w:t>
      </w:r>
    </w:p>
    <w:p>
      <w:pPr>
        <w:pStyle w:val="BodyText"/>
        <w:numPr>
          <w:ilvl w:val="0"/>
          <w:numId w:val="25"/>
        </w:numPr>
        <w:tabs>
          <w:tab w:val="clear" w:pos="720"/>
          <w:tab w:val="left" w:pos="0" w:leader="none"/>
        </w:tabs>
        <w:ind w:hanging="283" w:left="709"/>
        <w:rPr/>
      </w:pPr>
      <w:r>
        <w:rPr>
          <w:rStyle w:val="Strong"/>
        </w:rPr>
        <w:t>Governance</w:t>
      </w:r>
      <w:r>
        <w:rPr/>
        <w:t>: Transparent reporting, risk mitigation, and SDG mapping.</w:t>
      </w:r>
    </w:p>
    <w:p>
      <w:pPr>
        <w:pStyle w:val="BodyText"/>
        <w:rPr/>
      </w:pPr>
      <w:r>
        <w:rPr/>
        <w:t>Metrics are tracked annually and cumulatively, with assumptions detailed in:</w:t>
      </w:r>
    </w:p>
    <w:p>
      <w:pPr>
        <w:pStyle w:val="BodyText"/>
        <w:numPr>
          <w:ilvl w:val="0"/>
          <w:numId w:val="26"/>
        </w:numPr>
        <w:tabs>
          <w:tab w:val="clear" w:pos="720"/>
          <w:tab w:val="left" w:pos="0" w:leader="none"/>
        </w:tabs>
        <w:ind w:hanging="283" w:left="709"/>
        <w:rPr/>
      </w:pPr>
      <w:r>
        <w:rPr>
          <w:rStyle w:val="Strong"/>
        </w:rPr>
        <w:t>Annex C – ESG &amp; SDG Impact</w:t>
      </w:r>
    </w:p>
    <w:p>
      <w:pPr>
        <w:pStyle w:val="BodyText"/>
        <w:numPr>
          <w:ilvl w:val="0"/>
          <w:numId w:val="26"/>
        </w:numPr>
        <w:tabs>
          <w:tab w:val="clear" w:pos="720"/>
          <w:tab w:val="left" w:pos="0" w:leader="none"/>
        </w:tabs>
        <w:ind w:hanging="283" w:left="709"/>
        <w:rPr/>
      </w:pPr>
      <w:r>
        <w:rPr>
          <w:rStyle w:val="Strong"/>
        </w:rPr>
        <w:t>Annex G – ESG At One Glance</w:t>
      </w:r>
    </w:p>
    <w:p>
      <w:pPr>
        <w:pStyle w:val="BodyText"/>
        <w:numPr>
          <w:ilvl w:val="0"/>
          <w:numId w:val="26"/>
        </w:numPr>
        <w:tabs>
          <w:tab w:val="clear" w:pos="720"/>
          <w:tab w:val="left" w:pos="0" w:leader="none"/>
        </w:tabs>
        <w:ind w:hanging="283" w:left="709"/>
        <w:rPr/>
      </w:pPr>
      <w:r>
        <w:rPr>
          <w:rStyle w:val="Strong"/>
        </w:rPr>
        <w:t>Annex D – Risk Register</w:t>
      </w:r>
    </w:p>
    <w:p>
      <w:pPr>
        <w:pStyle w:val="Normal"/>
        <w:spacing w:before="0" w:after="0"/>
        <w:rPr/>
      </w:pPr>
      <w:r>
        <w:rPr/>
      </w:r>
    </w:p>
    <w:p>
      <w:pPr>
        <w:pStyle w:val="Normal"/>
        <w:jc w:val="center"/>
        <w:rPr/>
      </w:pPr>
      <w:r>
        <w:rPr/>
        <w:drawing>
          <wp:inline distT="0" distB="0" distL="0" distR="0">
            <wp:extent cx="4572000" cy="2857500"/>
            <wp:effectExtent l="0" t="0" r="0" b="0"/>
            <wp:docPr id="9" name="Picture 9"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
                    <pic:cNvPicPr>
                      <a:picLocks noChangeAspect="1" noChangeArrowheads="1"/>
                    </pic:cNvPicPr>
                  </pic:nvPicPr>
                  <pic:blipFill>
                    <a:blip r:embed="rId10"/>
                    <a:stretch>
                      <a:fillRect/>
                    </a:stretch>
                  </pic:blipFill>
                  <pic:spPr bwMode="auto">
                    <a:xfrm>
                      <a:off x="0" y="0"/>
                      <a:ext cx="4572000" cy="2857500"/>
                    </a:xfrm>
                    <a:prstGeom prst="rect">
                      <a:avLst/>
                    </a:prstGeom>
                  </pic:spPr>
                </pic:pic>
              </a:graphicData>
            </a:graphic>
          </wp:inline>
        </w:drawing>
      </w:r>
    </w:p>
    <w:p>
      <w:pPr>
        <w:pStyle w:val="Normal"/>
        <w:jc w:val="center"/>
        <w:rPr/>
      </w:pPr>
      <w:r>
        <w:rPr>
          <w:i/>
        </w:rPr>
        <w:t>Figure 6 – ESG: Jobs Created &amp; Land Restored</w:t>
      </w:r>
    </w:p>
    <w:p>
      <w:pPr>
        <w:pStyle w:val="Normal"/>
        <w:jc w:val="center"/>
        <w:rPr>
          <w:i/>
          <w:i/>
        </w:rPr>
      </w:pPr>
      <w:r>
        <w:rPr>
          <w:i/>
        </w:rPr>
      </w:r>
    </w:p>
    <w:p>
      <w:pPr>
        <w:pStyle w:val="Normal"/>
        <w:jc w:val="center"/>
        <w:rPr>
          <w:i/>
          <w:i/>
        </w:rPr>
      </w:pPr>
      <w:r>
        <w:rPr>
          <w:i/>
        </w:rPr>
      </w:r>
    </w:p>
    <w:p>
      <w:pPr>
        <w:pStyle w:val="Heading3"/>
        <w:spacing w:before="200" w:after="283"/>
        <w:jc w:val="left"/>
        <w:rPr/>
      </w:pPr>
      <w:r>
        <w:rPr>
          <w:i/>
        </w:rPr>
        <w:t>Visual – Figure 6: ESG Impact Snapshot</w:t>
      </w:r>
    </w:p>
    <w:tbl>
      <w:tblPr>
        <w:tblW w:w="8503" w:type="dxa"/>
        <w:jc w:val="left"/>
        <w:tblInd w:w="28" w:type="dxa"/>
        <w:tblLayout w:type="fixed"/>
        <w:tblCellMar>
          <w:top w:w="28" w:type="dxa"/>
          <w:left w:w="28" w:type="dxa"/>
          <w:bottom w:w="28" w:type="dxa"/>
          <w:right w:w="28" w:type="dxa"/>
        </w:tblCellMar>
      </w:tblPr>
      <w:tblGrid>
        <w:gridCol w:w="1772"/>
        <w:gridCol w:w="2185"/>
        <w:gridCol w:w="1017"/>
        <w:gridCol w:w="1472"/>
        <w:gridCol w:w="2057"/>
      </w:tblGrid>
      <w:tr>
        <w:trPr>
          <w:tblHeader w:val="true"/>
        </w:trPr>
        <w:tc>
          <w:tcPr>
            <w:tcW w:w="1772" w:type="dxa"/>
            <w:tcBorders/>
            <w:vAlign w:val="center"/>
          </w:tcPr>
          <w:p>
            <w:pPr>
              <w:pStyle w:val="Tabelkop"/>
              <w:suppressLineNumbers/>
              <w:spacing w:before="0" w:after="200"/>
              <w:jc w:val="center"/>
              <w:rPr/>
            </w:pPr>
            <w:r>
              <w:rPr/>
              <w:t>Impact Category</w:t>
            </w:r>
          </w:p>
        </w:tc>
        <w:tc>
          <w:tcPr>
            <w:tcW w:w="2185" w:type="dxa"/>
            <w:tcBorders/>
            <w:vAlign w:val="center"/>
          </w:tcPr>
          <w:p>
            <w:pPr>
              <w:pStyle w:val="Tabelkop"/>
              <w:suppressLineNumbers/>
              <w:spacing w:before="0" w:after="200"/>
              <w:jc w:val="center"/>
              <w:rPr/>
            </w:pPr>
            <w:r>
              <w:rPr/>
              <w:t>Metric</w:t>
            </w:r>
          </w:p>
        </w:tc>
        <w:tc>
          <w:tcPr>
            <w:tcW w:w="1017" w:type="dxa"/>
            <w:tcBorders/>
            <w:vAlign w:val="center"/>
          </w:tcPr>
          <w:p>
            <w:pPr>
              <w:pStyle w:val="Tabelkop"/>
              <w:suppressLineNumbers/>
              <w:spacing w:before="0" w:after="200"/>
              <w:jc w:val="center"/>
              <w:rPr/>
            </w:pPr>
            <w:r>
              <w:rPr/>
              <w:t>SDG Link</w:t>
            </w:r>
          </w:p>
        </w:tc>
        <w:tc>
          <w:tcPr>
            <w:tcW w:w="1472" w:type="dxa"/>
            <w:tcBorders/>
            <w:vAlign w:val="center"/>
          </w:tcPr>
          <w:p>
            <w:pPr>
              <w:pStyle w:val="Tabelkop"/>
              <w:suppressLineNumbers/>
              <w:spacing w:before="0" w:after="200"/>
              <w:jc w:val="center"/>
              <w:rPr/>
            </w:pPr>
            <w:r>
              <w:rPr/>
              <w:t>Year 5 Target</w:t>
            </w:r>
          </w:p>
        </w:tc>
        <w:tc>
          <w:tcPr>
            <w:tcW w:w="2057" w:type="dxa"/>
            <w:tcBorders/>
            <w:vAlign w:val="center"/>
          </w:tcPr>
          <w:p>
            <w:pPr>
              <w:pStyle w:val="Tabelkop"/>
              <w:suppressLineNumbers/>
              <w:spacing w:before="0" w:after="200"/>
              <w:jc w:val="center"/>
              <w:rPr/>
            </w:pPr>
            <w:r>
              <w:rPr/>
              <w:t>Cumulative Impact</w:t>
            </w:r>
          </w:p>
        </w:tc>
      </w:tr>
      <w:tr>
        <w:trPr/>
        <w:tc>
          <w:tcPr>
            <w:tcW w:w="1772" w:type="dxa"/>
            <w:tcBorders/>
            <w:vAlign w:val="center"/>
          </w:tcPr>
          <w:p>
            <w:pPr>
              <w:pStyle w:val="Inhoudtabel"/>
              <w:widowControl w:val="false"/>
              <w:suppressLineNumbers/>
              <w:spacing w:before="0" w:after="200"/>
              <w:rPr/>
            </w:pPr>
            <w:r>
              <w:rPr>
                <w:rStyle w:val="Strong"/>
              </w:rPr>
              <w:t>Jobs Created</w:t>
            </w:r>
          </w:p>
        </w:tc>
        <w:tc>
          <w:tcPr>
            <w:tcW w:w="2185" w:type="dxa"/>
            <w:tcBorders/>
            <w:vAlign w:val="center"/>
          </w:tcPr>
          <w:p>
            <w:pPr>
              <w:pStyle w:val="Inhoudtabel"/>
              <w:widowControl w:val="false"/>
              <w:suppressLineNumbers/>
              <w:spacing w:before="0" w:after="200"/>
              <w:rPr/>
            </w:pPr>
            <w:r>
              <w:rPr/>
              <w:t>10 → 20</w:t>
            </w:r>
          </w:p>
        </w:tc>
        <w:tc>
          <w:tcPr>
            <w:tcW w:w="1017" w:type="dxa"/>
            <w:tcBorders/>
            <w:vAlign w:val="center"/>
          </w:tcPr>
          <w:p>
            <w:pPr>
              <w:pStyle w:val="Inhoudtabel"/>
              <w:widowControl w:val="false"/>
              <w:suppressLineNumbers/>
              <w:spacing w:before="0" w:after="200"/>
              <w:rPr/>
            </w:pPr>
            <w:r>
              <w:rPr/>
              <w:t>SDG 8</w:t>
            </w:r>
          </w:p>
        </w:tc>
        <w:tc>
          <w:tcPr>
            <w:tcW w:w="1472" w:type="dxa"/>
            <w:tcBorders/>
            <w:vAlign w:val="center"/>
          </w:tcPr>
          <w:p>
            <w:pPr>
              <w:pStyle w:val="Inhoudtabel"/>
              <w:widowControl w:val="false"/>
              <w:suppressLineNumbers/>
              <w:spacing w:before="0" w:after="200"/>
              <w:rPr/>
            </w:pPr>
            <w:r>
              <w:rPr/>
              <w:t>20</w:t>
            </w:r>
          </w:p>
        </w:tc>
        <w:tc>
          <w:tcPr>
            <w:tcW w:w="2057" w:type="dxa"/>
            <w:tcBorders/>
            <w:vAlign w:val="center"/>
          </w:tcPr>
          <w:p>
            <w:pPr>
              <w:pStyle w:val="Inhoudtabel"/>
              <w:widowControl w:val="false"/>
              <w:suppressLineNumbers/>
              <w:spacing w:before="0" w:after="200"/>
              <w:rPr/>
            </w:pPr>
            <w:r>
              <w:rPr/>
              <w:t>75</w:t>
            </w:r>
          </w:p>
        </w:tc>
      </w:tr>
      <w:tr>
        <w:trPr/>
        <w:tc>
          <w:tcPr>
            <w:tcW w:w="1772" w:type="dxa"/>
            <w:tcBorders/>
            <w:vAlign w:val="center"/>
          </w:tcPr>
          <w:p>
            <w:pPr>
              <w:pStyle w:val="Inhoudtabel"/>
              <w:widowControl w:val="false"/>
              <w:suppressLineNumbers/>
              <w:spacing w:before="0" w:after="200"/>
              <w:rPr/>
            </w:pPr>
            <w:r>
              <w:rPr>
                <w:rStyle w:val="Strong"/>
              </w:rPr>
              <w:t>Land Restored</w:t>
            </w:r>
          </w:p>
        </w:tc>
        <w:tc>
          <w:tcPr>
            <w:tcW w:w="2185" w:type="dxa"/>
            <w:tcBorders/>
            <w:vAlign w:val="center"/>
          </w:tcPr>
          <w:p>
            <w:pPr>
              <w:pStyle w:val="Inhoudtabel"/>
              <w:widowControl w:val="false"/>
              <w:suppressLineNumbers/>
              <w:spacing w:before="0" w:after="200"/>
              <w:rPr/>
            </w:pPr>
            <w:r>
              <w:rPr/>
              <w:t>2 ha → 5 ha</w:t>
            </w:r>
          </w:p>
        </w:tc>
        <w:tc>
          <w:tcPr>
            <w:tcW w:w="1017" w:type="dxa"/>
            <w:tcBorders/>
            <w:vAlign w:val="center"/>
          </w:tcPr>
          <w:p>
            <w:pPr>
              <w:pStyle w:val="Inhoudtabel"/>
              <w:widowControl w:val="false"/>
              <w:suppressLineNumbers/>
              <w:spacing w:before="0" w:after="200"/>
              <w:rPr/>
            </w:pPr>
            <w:r>
              <w:rPr/>
              <w:t>SDG 15</w:t>
            </w:r>
          </w:p>
        </w:tc>
        <w:tc>
          <w:tcPr>
            <w:tcW w:w="1472" w:type="dxa"/>
            <w:tcBorders/>
            <w:vAlign w:val="center"/>
          </w:tcPr>
          <w:p>
            <w:pPr>
              <w:pStyle w:val="Inhoudtabel"/>
              <w:widowControl w:val="false"/>
              <w:suppressLineNumbers/>
              <w:spacing w:before="0" w:after="200"/>
              <w:rPr/>
            </w:pPr>
            <w:r>
              <w:rPr/>
              <w:t>5 ha</w:t>
            </w:r>
          </w:p>
        </w:tc>
        <w:tc>
          <w:tcPr>
            <w:tcW w:w="2057" w:type="dxa"/>
            <w:tcBorders/>
            <w:vAlign w:val="center"/>
          </w:tcPr>
          <w:p>
            <w:pPr>
              <w:pStyle w:val="Inhoudtabel"/>
              <w:widowControl w:val="false"/>
              <w:suppressLineNumbers/>
              <w:spacing w:before="0" w:after="200"/>
              <w:rPr/>
            </w:pPr>
            <w:r>
              <w:rPr/>
              <w:t>17.7 ha</w:t>
            </w:r>
          </w:p>
        </w:tc>
      </w:tr>
      <w:tr>
        <w:trPr/>
        <w:tc>
          <w:tcPr>
            <w:tcW w:w="1772" w:type="dxa"/>
            <w:tcBorders/>
            <w:vAlign w:val="center"/>
          </w:tcPr>
          <w:p>
            <w:pPr>
              <w:pStyle w:val="Inhoudtabel"/>
              <w:widowControl w:val="false"/>
              <w:suppressLineNumbers/>
              <w:spacing w:before="0" w:after="200"/>
              <w:rPr/>
            </w:pPr>
            <w:r>
              <w:rPr>
                <w:rStyle w:val="Strong"/>
              </w:rPr>
              <w:t>Carbon Credits</w:t>
            </w:r>
          </w:p>
        </w:tc>
        <w:tc>
          <w:tcPr>
            <w:tcW w:w="2185" w:type="dxa"/>
            <w:tcBorders/>
            <w:vAlign w:val="center"/>
          </w:tcPr>
          <w:p>
            <w:pPr>
              <w:pStyle w:val="Inhoudtabel"/>
              <w:widowControl w:val="false"/>
              <w:suppressLineNumbers/>
              <w:spacing w:before="0" w:after="200"/>
              <w:rPr/>
            </w:pPr>
            <w:r>
              <w:rPr/>
              <w:t>CO₂e offsets</w:t>
            </w:r>
          </w:p>
        </w:tc>
        <w:tc>
          <w:tcPr>
            <w:tcW w:w="1017" w:type="dxa"/>
            <w:tcBorders/>
            <w:vAlign w:val="center"/>
          </w:tcPr>
          <w:p>
            <w:pPr>
              <w:pStyle w:val="Inhoudtabel"/>
              <w:widowControl w:val="false"/>
              <w:suppressLineNumbers/>
              <w:spacing w:before="0" w:after="200"/>
              <w:rPr/>
            </w:pPr>
            <w:r>
              <w:rPr/>
              <w:t>SDG 13</w:t>
            </w:r>
          </w:p>
        </w:tc>
        <w:tc>
          <w:tcPr>
            <w:tcW w:w="1472" w:type="dxa"/>
            <w:tcBorders/>
            <w:vAlign w:val="center"/>
          </w:tcPr>
          <w:p>
            <w:pPr>
              <w:pStyle w:val="Inhoudtabel"/>
              <w:widowControl w:val="false"/>
              <w:suppressLineNumbers/>
              <w:spacing w:before="0" w:after="200"/>
              <w:rPr/>
            </w:pPr>
            <w:r>
              <w:rPr/>
              <w:t>1,000 tons</w:t>
            </w:r>
          </w:p>
        </w:tc>
        <w:tc>
          <w:tcPr>
            <w:tcW w:w="2057" w:type="dxa"/>
            <w:tcBorders/>
            <w:vAlign w:val="center"/>
          </w:tcPr>
          <w:p>
            <w:pPr>
              <w:pStyle w:val="Inhoudtabel"/>
              <w:widowControl w:val="false"/>
              <w:suppressLineNumbers/>
              <w:spacing w:before="0" w:after="200"/>
              <w:rPr/>
            </w:pPr>
            <w:r>
              <w:rPr/>
              <w:t>Verified by Y2</w:t>
            </w:r>
          </w:p>
        </w:tc>
      </w:tr>
      <w:tr>
        <w:trPr/>
        <w:tc>
          <w:tcPr>
            <w:tcW w:w="1772" w:type="dxa"/>
            <w:tcBorders/>
            <w:vAlign w:val="center"/>
          </w:tcPr>
          <w:p>
            <w:pPr>
              <w:pStyle w:val="Inhoudtabel"/>
              <w:widowControl w:val="false"/>
              <w:suppressLineNumbers/>
              <w:spacing w:before="0" w:after="200"/>
              <w:rPr/>
            </w:pPr>
            <w:r>
              <w:rPr>
                <w:rStyle w:val="Strong"/>
              </w:rPr>
              <w:t>Workshops</w:t>
            </w:r>
          </w:p>
        </w:tc>
        <w:tc>
          <w:tcPr>
            <w:tcW w:w="2185" w:type="dxa"/>
            <w:tcBorders/>
            <w:vAlign w:val="center"/>
          </w:tcPr>
          <w:p>
            <w:pPr>
              <w:pStyle w:val="Inhoudtabel"/>
              <w:widowControl w:val="false"/>
              <w:suppressLineNumbers/>
              <w:spacing w:before="0" w:after="200"/>
              <w:rPr/>
            </w:pPr>
            <w:r>
              <w:rPr/>
              <w:t>Community activation</w:t>
            </w:r>
          </w:p>
        </w:tc>
        <w:tc>
          <w:tcPr>
            <w:tcW w:w="1017" w:type="dxa"/>
            <w:tcBorders/>
            <w:vAlign w:val="center"/>
          </w:tcPr>
          <w:p>
            <w:pPr>
              <w:pStyle w:val="Inhoudtabel"/>
              <w:widowControl w:val="false"/>
              <w:suppressLineNumbers/>
              <w:spacing w:before="0" w:after="200"/>
              <w:rPr/>
            </w:pPr>
            <w:r>
              <w:rPr/>
              <w:t>SDG 4</w:t>
            </w:r>
          </w:p>
        </w:tc>
        <w:tc>
          <w:tcPr>
            <w:tcW w:w="1472" w:type="dxa"/>
            <w:tcBorders/>
            <w:vAlign w:val="center"/>
          </w:tcPr>
          <w:p>
            <w:pPr>
              <w:pStyle w:val="Inhoudtabel"/>
              <w:widowControl w:val="false"/>
              <w:suppressLineNumbers/>
              <w:spacing w:before="0" w:after="200"/>
              <w:rPr/>
            </w:pPr>
            <w:r>
              <w:rPr/>
              <w:t>3/year</w:t>
            </w:r>
          </w:p>
        </w:tc>
        <w:tc>
          <w:tcPr>
            <w:tcW w:w="2057" w:type="dxa"/>
            <w:tcBorders/>
            <w:vAlign w:val="center"/>
          </w:tcPr>
          <w:p>
            <w:pPr>
              <w:pStyle w:val="Inhoudtabel"/>
              <w:widowControl w:val="false"/>
              <w:suppressLineNumbers/>
              <w:spacing w:before="0" w:after="200"/>
              <w:rPr/>
            </w:pPr>
            <w:r>
              <w:rPr/>
              <w:t>15+</w:t>
            </w:r>
          </w:p>
        </w:tc>
      </w:tr>
    </w:tbl>
    <w:p>
      <w:pPr>
        <w:pStyle w:val="BodyText"/>
        <w:rPr/>
      </w:pPr>
      <w:r>
        <w:rPr>
          <w:rStyle w:val="Emphasis"/>
        </w:rPr>
        <w:t>(See also: Annex C and G for methodology and ratios)</w:t>
      </w:r>
    </w:p>
    <w:p>
      <w:pPr>
        <w:pStyle w:val="Heading3"/>
        <w:spacing w:before="200" w:after="283"/>
        <w:jc w:val="left"/>
        <w:rPr/>
      </w:pPr>
      <w:r>
        <w:rPr>
          <w:i/>
        </w:rPr>
        <w:t>Key View</w:t>
      </w:r>
    </w:p>
    <w:p>
      <w:pPr>
        <w:pStyle w:val="BodyText"/>
        <w:rPr/>
      </w:pPr>
      <w:r>
        <w:rPr/>
        <w:t>Terra Vita is designed to be carbon-negative by Year 2, with tangible impact across jobs, land, and community engagement. ESG is not a compliance checkbox—it’s the heartbeat of the business. Impact is embedded in every operational decision, visualized for investor clarity, and aligned with four core SDGs: 8, 13, 15, and 4.</w:t>
      </w:r>
    </w:p>
    <w:p>
      <w:pPr>
        <w:pStyle w:val="Heading3"/>
        <w:spacing w:before="200" w:after="283"/>
        <w:jc w:val="left"/>
        <w:rPr/>
      </w:pPr>
      <w:r>
        <w:rPr>
          <w:i/>
        </w:rPr>
        <w:t>Investor Takeaway</w:t>
      </w:r>
    </w:p>
    <w:p>
      <w:pPr>
        <w:pStyle w:val="BodyText"/>
        <w:rPr/>
      </w:pPr>
      <w:r>
        <w:rPr/>
        <w:t>Terra Vita delivers ESG impact that is measurable, visual, and emotionally resonant. Investors gain exposure to a carbon-negative, community-activated venture with SDG alignment and reputational upside. Every euro invested contributes to healing land, lives, and legacy—with proof points built into the dashboard.</w:t>
      </w:r>
    </w:p>
    <w:p>
      <w:pPr>
        <w:pStyle w:val="Normal"/>
        <w:jc w:val="left"/>
        <w:rPr>
          <w:i/>
          <w:i/>
        </w:rPr>
      </w:pPr>
      <w:r>
        <w:rPr>
          <w:i/>
        </w:rPr>
      </w:r>
    </w:p>
    <w:p>
      <w:pPr>
        <w:pStyle w:val="Normal"/>
        <w:rPr/>
      </w:pPr>
      <w:r>
        <w:rPr/>
      </w:r>
      <w:r>
        <w:br w:type="page"/>
      </w:r>
    </w:p>
    <w:p>
      <w:pPr>
        <w:pStyle w:val="Heading1"/>
        <w:spacing w:before="0" w:after="0"/>
        <w:rPr/>
      </w:pPr>
      <w:r>
        <w:rPr/>
        <w:t>Funding &amp; Investment Offer</w:t>
      </w:r>
    </w:p>
    <w:p>
      <w:pPr>
        <w:pStyle w:val="Normal"/>
        <w:spacing w:before="0" w:after="0"/>
        <w:rPr/>
      </w:pPr>
      <w:r>
        <w:rPr/>
      </w:r>
    </w:p>
    <w:p>
      <w:pPr>
        <w:pStyle w:val="Heading3"/>
        <w:spacing w:before="0" w:after="0"/>
        <w:rPr/>
      </w:pPr>
      <w:r>
        <w:rPr/>
        <w:t xml:space="preserve">🔬 </w:t>
      </w:r>
      <w:r>
        <w:rPr/>
        <w:t>Methodology</w:t>
      </w:r>
    </w:p>
    <w:p>
      <w:pPr>
        <w:pStyle w:val="BodyText"/>
        <w:rPr/>
      </w:pPr>
      <w:r>
        <w:rPr/>
        <w:t>Terra Vita’s funding logic is built on lean startup principles, asset-backed security, and ESG-aligned returns. The €350,000 seed capital ask is modeled to activate the full “Golden Triangle” architecture—regenerative agriculture, essential oils, and eco-hospitality—within Year 1.</w:t>
      </w:r>
    </w:p>
    <w:p>
      <w:pPr>
        <w:pStyle w:val="BodyText"/>
        <w:rPr/>
      </w:pPr>
      <w:r>
        <w:rPr/>
        <w:t xml:space="preserve">Three funding structures were modeled in </w:t>
      </w:r>
      <w:r>
        <w:rPr>
          <w:rStyle w:val="Strong"/>
        </w:rPr>
        <w:t>Annex E – Funding Scenarios</w:t>
      </w:r>
      <w:r>
        <w:rPr/>
        <w:t>, each tested against IRR sensitivity (Annex B) and operational feasibility (Annex A):</w:t>
      </w:r>
    </w:p>
    <w:p>
      <w:pPr>
        <w:pStyle w:val="BodyText"/>
        <w:numPr>
          <w:ilvl w:val="0"/>
          <w:numId w:val="27"/>
        </w:numPr>
        <w:tabs>
          <w:tab w:val="clear" w:pos="720"/>
          <w:tab w:val="left" w:pos="0" w:leader="none"/>
        </w:tabs>
        <w:ind w:hanging="283" w:left="709"/>
        <w:rPr/>
      </w:pPr>
      <w:r>
        <w:rPr>
          <w:rStyle w:val="Strong"/>
        </w:rPr>
        <w:t>Equity Only</w:t>
      </w:r>
      <w:r>
        <w:rPr/>
        <w:t>: €350,000 for 20% stake</w:t>
      </w:r>
    </w:p>
    <w:p>
      <w:pPr>
        <w:pStyle w:val="BodyText"/>
        <w:numPr>
          <w:ilvl w:val="0"/>
          <w:numId w:val="27"/>
        </w:numPr>
        <w:tabs>
          <w:tab w:val="clear" w:pos="720"/>
          <w:tab w:val="left" w:pos="0" w:leader="none"/>
        </w:tabs>
        <w:ind w:hanging="283" w:left="709"/>
        <w:rPr/>
      </w:pPr>
      <w:r>
        <w:rPr>
          <w:rStyle w:val="Strong"/>
        </w:rPr>
        <w:t>Blended</w:t>
      </w:r>
      <w:r>
        <w:rPr/>
        <w:t>: €200,000 equity + €150,000 soft loan</w:t>
      </w:r>
    </w:p>
    <w:p>
      <w:pPr>
        <w:pStyle w:val="BodyText"/>
        <w:numPr>
          <w:ilvl w:val="0"/>
          <w:numId w:val="27"/>
        </w:numPr>
        <w:tabs>
          <w:tab w:val="clear" w:pos="720"/>
          <w:tab w:val="left" w:pos="0" w:leader="none"/>
        </w:tabs>
        <w:ind w:hanging="283" w:left="709"/>
        <w:rPr/>
      </w:pPr>
      <w:r>
        <w:rPr>
          <w:rStyle w:val="Strong"/>
        </w:rPr>
        <w:t>Staged</w:t>
      </w:r>
      <w:r>
        <w:rPr/>
        <w:t>: €200,000 (Y1) + €150,000 (Y2) with milestone triggers</w:t>
      </w:r>
    </w:p>
    <w:p>
      <w:pPr>
        <w:pStyle w:val="BodyText"/>
        <w:rPr/>
      </w:pPr>
      <w:r>
        <w:rPr/>
        <w:t>Each structure delivers IRR between 20–24%, with payback under 2 years and ROI of 2.8× by Year 5.</w:t>
      </w:r>
    </w:p>
    <w:p>
      <w:pPr>
        <w:pStyle w:val="Normal"/>
        <w:spacing w:before="0" w:after="0"/>
        <w:rPr/>
      </w:pPr>
      <w:r>
        <w:rPr/>
      </w:r>
    </w:p>
    <w:p>
      <w:pPr>
        <w:pStyle w:val="Normal"/>
        <w:jc w:val="center"/>
        <w:rPr/>
      </w:pPr>
      <w:r>
        <w:drawing>
          <wp:anchor behindDoc="0" distT="0" distB="0" distL="0" distR="0" simplePos="0" locked="0" layoutInCell="0" allowOverlap="1" relativeHeight="34">
            <wp:simplePos x="0" y="0"/>
            <wp:positionH relativeFrom="column">
              <wp:align>center</wp:align>
            </wp:positionH>
            <wp:positionV relativeFrom="paragraph">
              <wp:posOffset>635</wp:posOffset>
            </wp:positionV>
            <wp:extent cx="5486400" cy="3429000"/>
            <wp:effectExtent l="0" t="0" r="0" b="0"/>
            <wp:wrapSquare wrapText="largest"/>
            <wp:docPr id="10" name="Afbeelding1"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Afbeelding1" descr=""/>
                    <pic:cNvPicPr>
                      <a:picLocks noChangeAspect="1" noChangeArrowheads="1"/>
                    </pic:cNvPicPr>
                  </pic:nvPicPr>
                  <pic:blipFill>
                    <a:blip r:embed="rId11"/>
                    <a:stretch>
                      <a:fillRect/>
                    </a:stretch>
                  </pic:blipFill>
                  <pic:spPr bwMode="auto">
                    <a:xfrm>
                      <a:off x="0" y="0"/>
                      <a:ext cx="5486400" cy="3429000"/>
                    </a:xfrm>
                    <a:prstGeom prst="rect">
                      <a:avLst/>
                    </a:prstGeom>
                  </pic:spPr>
                </pic:pic>
              </a:graphicData>
            </a:graphic>
          </wp:anchor>
        </w:drawing>
      </w:r>
      <w:r>
        <w:rPr>
          <w:i/>
        </w:rPr>
        <w:t>Figure 4 – Funding KPI Snapshot</w:t>
      </w:r>
    </w:p>
    <w:p>
      <w:pPr>
        <w:pStyle w:val="Normal"/>
        <w:jc w:val="center"/>
        <w:rPr>
          <w:i/>
          <w:i/>
        </w:rPr>
      </w:pPr>
      <w:r>
        <w:rPr>
          <w:i/>
        </w:rPr>
      </w:r>
    </w:p>
    <w:p>
      <w:pPr>
        <w:pStyle w:val="Heading3"/>
        <w:spacing w:before="200" w:after="283"/>
        <w:jc w:val="left"/>
        <w:rPr/>
      </w:pPr>
      <w:r>
        <w:rPr>
          <w:i/>
        </w:rPr>
        <w:t>Key View</w:t>
      </w:r>
    </w:p>
    <w:p>
      <w:pPr>
        <w:pStyle w:val="BodyText"/>
        <w:rPr/>
      </w:pPr>
      <w:r>
        <w:rPr/>
        <w:t>The investment offer is designed to be modular, transparent, and impact-aligned. Investors receive exposure to land-backed assets, diversified revenue, and measurable ESG outcomes. The funding allocation prioritizes land security, infrastructure, and brand activation.</w:t>
      </w:r>
    </w:p>
    <w:p>
      <w:pPr>
        <w:pStyle w:val="Heading3"/>
        <w:spacing w:before="200" w:after="283"/>
        <w:rPr/>
      </w:pPr>
      <w:r>
        <w:rPr/>
        <w:t>Investor Takeaway</w:t>
      </w:r>
    </w:p>
    <w:p>
      <w:pPr>
        <w:pStyle w:val="BodyText"/>
        <w:rPr/>
      </w:pPr>
      <w:r>
        <w:t>Terra Vita offers a rare blend of financial clarity, emotional resonance, and ESG upside. The funding request is lean yet transformative: €350,000 in seed capital activates the full Terra Vita “Golden Triangle.” Within 24 months, investors gain access to:</w:t>
        <w:br/>
        <w:t>- IRR: 22–24%</w:t>
        <w:br/>
        <w:t>- ROI: 2.8× by Year 5</w:t>
        <w:br/>
        <w:t>- Payback: Under 2 years</w:t>
        <w:br/>
        <w:t>- Carbon-negative operations by Year 2 Whether equity, blended, or staged—each structure is designed to build trust, deliver proof, and scale purpose.</w:t>
      </w:r>
    </w:p>
    <w:p>
      <w:pPr>
        <w:pStyle w:val="BodyText"/>
        <w:rPr/>
      </w:pPr>
      <w:r>
        <w:rPr/>
      </w:r>
    </w:p>
    <w:p>
      <w:pPr>
        <w:pStyle w:val="Normal"/>
        <w:jc w:val="left"/>
        <w:rPr>
          <w:i/>
          <w:i/>
        </w:rPr>
      </w:pPr>
      <w:r>
        <w:rPr>
          <w:i/>
        </w:rPr>
      </w:r>
    </w:p>
    <w:p>
      <w:pPr>
        <w:pStyle w:val="Normal"/>
        <w:rPr/>
      </w:pPr>
      <w:r>
        <w:rPr/>
      </w:r>
      <w:r>
        <w:br w:type="page"/>
      </w:r>
    </w:p>
    <w:p>
      <w:pPr>
        <w:pStyle w:val="Heading1"/>
        <w:spacing w:before="0" w:after="0"/>
        <w:rPr/>
      </w:pPr>
      <w:r>
        <w:rPr/>
        <w:t>Conclusion</w:t>
      </w:r>
    </w:p>
    <w:p>
      <w:pPr>
        <w:pStyle w:val="Normal"/>
        <w:spacing w:before="0" w:after="0"/>
        <w:rPr/>
      </w:pPr>
      <w:r>
        <w:rPr/>
      </w:r>
    </w:p>
    <w:p>
      <w:pPr>
        <w:pStyle w:val="BodyText"/>
        <w:spacing w:before="0" w:after="0"/>
        <w:rPr/>
      </w:pPr>
      <w:r>
        <w:rPr/>
        <w:t>Terra Vita is more than a business—it’s a blueprint for healing. By integrating regenerative agriculture, essential oils, and eco-hospitality, the venture delivers a rare convergence of financial returns, ecosystem restoration, and community upliftment.</w:t>
      </w:r>
    </w:p>
    <w:p>
      <w:pPr>
        <w:pStyle w:val="BodyText"/>
        <w:rPr/>
      </w:pPr>
      <w:r>
        <w:rPr/>
        <w:t>With a lean €350,000 seed capital ask, Terra Vita activates:</w:t>
      </w:r>
    </w:p>
    <w:p>
      <w:pPr>
        <w:pStyle w:val="BodyText"/>
        <w:rPr/>
      </w:pPr>
      <w:r>
        <w:rPr/>
      </w:r>
    </w:p>
    <w:p>
      <w:pPr>
        <w:pStyle w:val="BodyText"/>
        <w:numPr>
          <w:ilvl w:val="0"/>
          <w:numId w:val="28"/>
        </w:numPr>
        <w:tabs>
          <w:tab w:val="clear" w:pos="720"/>
          <w:tab w:val="left" w:pos="0" w:leader="none"/>
        </w:tabs>
        <w:ind w:hanging="283" w:left="709"/>
        <w:rPr/>
      </w:pPr>
      <w:r>
        <w:rPr>
          <w:rStyle w:val="Strong"/>
        </w:rPr>
        <w:t>IRR</w:t>
      </w:r>
      <w:r>
        <w:rPr/>
        <w:t xml:space="preserve"> of 22%</w:t>
      </w:r>
    </w:p>
    <w:p>
      <w:pPr>
        <w:pStyle w:val="BodyText"/>
        <w:numPr>
          <w:ilvl w:val="0"/>
          <w:numId w:val="28"/>
        </w:numPr>
        <w:tabs>
          <w:tab w:val="clear" w:pos="720"/>
          <w:tab w:val="left" w:pos="0" w:leader="none"/>
        </w:tabs>
        <w:ind w:hanging="283" w:left="709"/>
        <w:rPr/>
      </w:pPr>
      <w:r>
        <w:rPr>
          <w:rStyle w:val="Strong"/>
        </w:rPr>
        <w:t>ROI</w:t>
      </w:r>
      <w:r>
        <w:rPr/>
        <w:t xml:space="preserve"> of 2.8× by Year 5</w:t>
      </w:r>
    </w:p>
    <w:p>
      <w:pPr>
        <w:pStyle w:val="BodyText"/>
        <w:numPr>
          <w:ilvl w:val="0"/>
          <w:numId w:val="28"/>
        </w:numPr>
        <w:tabs>
          <w:tab w:val="clear" w:pos="720"/>
          <w:tab w:val="left" w:pos="0" w:leader="none"/>
        </w:tabs>
        <w:ind w:hanging="283" w:left="709"/>
        <w:rPr/>
      </w:pPr>
      <w:r>
        <w:rPr>
          <w:rStyle w:val="Strong"/>
        </w:rPr>
        <w:t>Payback</w:t>
      </w:r>
      <w:r>
        <w:rPr/>
        <w:t xml:space="preserve"> in under 2 years</w:t>
      </w:r>
    </w:p>
    <w:p>
      <w:pPr>
        <w:pStyle w:val="BodyText"/>
        <w:numPr>
          <w:ilvl w:val="0"/>
          <w:numId w:val="28"/>
        </w:numPr>
        <w:tabs>
          <w:tab w:val="clear" w:pos="720"/>
          <w:tab w:val="left" w:pos="0" w:leader="none"/>
        </w:tabs>
        <w:ind w:hanging="283" w:left="709"/>
        <w:rPr/>
      </w:pPr>
      <w:r>
        <w:rPr>
          <w:rStyle w:val="Strong"/>
        </w:rPr>
        <w:t>Carbon-negative operations</w:t>
      </w:r>
      <w:r>
        <w:rPr/>
        <w:t xml:space="preserve"> by Year 2</w:t>
      </w:r>
    </w:p>
    <w:p>
      <w:pPr>
        <w:pStyle w:val="BodyText"/>
        <w:numPr>
          <w:ilvl w:val="0"/>
          <w:numId w:val="28"/>
        </w:numPr>
        <w:tabs>
          <w:tab w:val="clear" w:pos="720"/>
          <w:tab w:val="left" w:pos="0" w:leader="none"/>
        </w:tabs>
        <w:ind w:hanging="283" w:left="709"/>
        <w:rPr/>
      </w:pPr>
      <w:r>
        <w:rPr>
          <w:rStyle w:val="Strong"/>
        </w:rPr>
        <w:t>Job creation</w:t>
      </w:r>
      <w:r>
        <w:rPr/>
        <w:t xml:space="preserve">, </w:t>
      </w:r>
      <w:r>
        <w:rPr>
          <w:rStyle w:val="Strong"/>
        </w:rPr>
        <w:t>land restoration</w:t>
      </w:r>
      <w:r>
        <w:rPr/>
        <w:t xml:space="preserve">, and </w:t>
      </w:r>
      <w:r>
        <w:rPr>
          <w:rStyle w:val="Strong"/>
        </w:rPr>
        <w:t>SDG-aligned workshops</w:t>
      </w:r>
    </w:p>
    <w:p>
      <w:pPr>
        <w:pStyle w:val="BodyText"/>
        <w:numPr>
          <w:ilvl w:val="0"/>
          <w:numId w:val="0"/>
        </w:numPr>
        <w:ind w:hanging="0" w:left="0"/>
        <w:rPr>
          <w:rStyle w:val="Strong"/>
        </w:rPr>
      </w:pPr>
      <w:r>
        <w:rPr/>
      </w:r>
    </w:p>
    <w:p>
      <w:pPr>
        <w:pStyle w:val="BodyText"/>
        <w:rPr/>
      </w:pPr>
      <w:r>
        <w:rPr/>
        <w:t>Every euro invested is mapped to tangible outcomes—land security, infrastructure, and emotional resonance. The investor pack is modular, transparent, and professionally governed, with annexes A–H, version control, and embedded confidentiality protocols.</w:t>
      </w:r>
    </w:p>
    <w:p>
      <w:pPr>
        <w:pStyle w:val="BodyText"/>
        <w:rPr/>
      </w:pPr>
      <w:r>
        <w:rPr/>
        <w:t>Terra Vita invites partners who believe in purpose-driven profit, who value trust and transparency, and who seek to leave a legacy of regeneration. This is your opportunity to co-create a venture that restores land, activates communities, and delivers proof of impact.</w:t>
      </w:r>
    </w:p>
    <w:p>
      <w:pPr>
        <w:pStyle w:val="BodyText"/>
        <w:rPr/>
      </w:pPr>
      <w:r>
        <w:t>Profit. Purpose. Proof.</w:t>
        <w:br/>
        <w:t>Terra Vita is more than an investment—it is a chance to co-create a venture that restores ecosystems, uplifts communities, and delivers measurable returns. We invite partners who value trust, transparency, and legacy to join us in building a regenerative future.</w:t>
      </w:r>
    </w:p>
    <w:p>
      <w:pPr>
        <w:pStyle w:val="Normal"/>
        <w:spacing w:before="0" w:after="0"/>
        <w:rPr/>
      </w:pPr>
      <w:r>
        <w:rPr/>
      </w:r>
    </w:p>
    <w:p>
      <w:pPr>
        <w:pStyle w:val="Normal"/>
        <w:rPr/>
      </w:pPr>
      <w:r>
        <w:rPr/>
      </w:r>
    </w:p>
    <w:p>
      <w:pPr>
        <w:pStyle w:val="Normal"/>
        <w:rPr/>
      </w:pPr>
      <w:r>
        <w:rPr/>
      </w:r>
      <w:r>
        <w:br w:type="page"/>
      </w:r>
    </w:p>
    <w:p>
      <w:pPr>
        <w:pStyle w:val="Heading1"/>
        <w:spacing w:before="0" w:after="0"/>
        <w:rPr/>
      </w:pPr>
      <w:r>
        <w:rPr/>
        <w:t>Appendix – Supporting Visuals</w:t>
      </w:r>
    </w:p>
    <w:p>
      <w:pPr>
        <w:pStyle w:val="Normal"/>
        <w:jc w:val="center"/>
        <w:rPr/>
      </w:pPr>
      <w:r>
        <w:rPr/>
        <w:drawing>
          <wp:inline distT="0" distB="0" distL="0" distR="0">
            <wp:extent cx="5943600" cy="4731385"/>
            <wp:effectExtent l="0" t="0" r="0" b="0"/>
            <wp:docPr id="11" name="Picture 11"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
                    <pic:cNvPicPr>
                      <a:picLocks noChangeAspect="1" noChangeArrowheads="1"/>
                    </pic:cNvPicPr>
                  </pic:nvPicPr>
                  <pic:blipFill>
                    <a:blip r:embed="rId12"/>
                    <a:stretch>
                      <a:fillRect/>
                    </a:stretch>
                  </pic:blipFill>
                  <pic:spPr bwMode="auto">
                    <a:xfrm>
                      <a:off x="0" y="0"/>
                      <a:ext cx="5943600" cy="4731385"/>
                    </a:xfrm>
                    <a:prstGeom prst="rect">
                      <a:avLst/>
                    </a:prstGeom>
                  </pic:spPr>
                </pic:pic>
              </a:graphicData>
            </a:graphic>
          </wp:inline>
        </w:drawing>
      </w:r>
    </w:p>
    <w:p>
      <w:pPr>
        <w:pStyle w:val="Normal"/>
        <w:jc w:val="center"/>
        <w:rPr/>
      </w:pPr>
      <w:r>
        <w:rPr>
          <w:i/>
        </w:rPr>
        <w:t>Figure 1 – Terra Vita Golden Triangle</w:t>
      </w:r>
    </w:p>
    <w:p>
      <w:pPr>
        <w:pStyle w:val="Normal"/>
        <w:rPr/>
      </w:pPr>
      <w:r>
        <w:rPr/>
      </w:r>
      <w:r>
        <w:br w:type="page"/>
      </w:r>
    </w:p>
    <w:p>
      <w:pPr>
        <w:pStyle w:val="Normal"/>
        <w:spacing w:before="0" w:after="200"/>
        <w:jc w:val="center"/>
        <w:rPr/>
      </w:pPr>
      <w:r>
        <w:rPr/>
        <w:drawing>
          <wp:inline distT="0" distB="0" distL="0" distR="0">
            <wp:extent cx="5943600" cy="1485900"/>
            <wp:effectExtent l="0" t="0" r="0" b="0"/>
            <wp:docPr id="12" name="Picture 12"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
                    <pic:cNvPicPr>
                      <a:picLocks noChangeAspect="1" noChangeArrowheads="1"/>
                    </pic:cNvPicPr>
                  </pic:nvPicPr>
                  <pic:blipFill>
                    <a:blip r:embed="rId13"/>
                    <a:stretch>
                      <a:fillRect/>
                    </a:stretch>
                  </pic:blipFill>
                  <pic:spPr bwMode="auto">
                    <a:xfrm>
                      <a:off x="0" y="0"/>
                      <a:ext cx="5943600" cy="1485900"/>
                    </a:xfrm>
                    <a:prstGeom prst="rect">
                      <a:avLst/>
                    </a:prstGeom>
                  </pic:spPr>
                </pic:pic>
              </a:graphicData>
            </a:graphic>
          </wp:inline>
        </w:drawing>
      </w:r>
    </w:p>
    <w:p>
      <w:pPr>
        <w:pStyle w:val="Normal"/>
        <w:jc w:val="center"/>
        <w:rPr/>
      </w:pPr>
      <w:r>
        <w:rPr>
          <w:i/>
        </w:rPr>
        <w:t>Figure 2 – SDG Alignment Snapshot</w:t>
      </w:r>
    </w:p>
    <w:p>
      <w:pPr>
        <w:pStyle w:val="Normal"/>
        <w:rPr/>
      </w:pPr>
      <w:r>
        <w:rPr/>
      </w:r>
      <w:r>
        <w:br w:type="page"/>
      </w:r>
    </w:p>
    <w:p>
      <w:pPr>
        <w:pStyle w:val="Normal"/>
        <w:spacing w:before="0" w:after="200"/>
        <w:jc w:val="center"/>
        <w:rPr/>
      </w:pPr>
      <w:r>
        <w:rPr/>
        <w:drawing>
          <wp:anchor behindDoc="0" distT="0" distB="0" distL="0" distR="0" simplePos="0" locked="0" layoutInCell="0" allowOverlap="1" relativeHeight="35">
            <wp:simplePos x="0" y="0"/>
            <wp:positionH relativeFrom="column">
              <wp:align>center</wp:align>
            </wp:positionH>
            <wp:positionV relativeFrom="paragraph">
              <wp:posOffset>635</wp:posOffset>
            </wp:positionV>
            <wp:extent cx="5486400" cy="3429000"/>
            <wp:effectExtent l="0" t="0" r="0" b="0"/>
            <wp:wrapSquare wrapText="largest"/>
            <wp:docPr id="13" name="Afbeelding2"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Afbeelding2" descr=""/>
                    <pic:cNvPicPr>
                      <a:picLocks noChangeAspect="1" noChangeArrowheads="1"/>
                    </pic:cNvPicPr>
                  </pic:nvPicPr>
                  <pic:blipFill>
                    <a:blip r:embed="rId14"/>
                    <a:stretch>
                      <a:fillRect/>
                    </a:stretch>
                  </pic:blipFill>
                  <pic:spPr bwMode="auto">
                    <a:xfrm>
                      <a:off x="0" y="0"/>
                      <a:ext cx="5486400" cy="3429000"/>
                    </a:xfrm>
                    <a:prstGeom prst="rect">
                      <a:avLst/>
                    </a:prstGeom>
                  </pic:spPr>
                </pic:pic>
              </a:graphicData>
            </a:graphic>
          </wp:anchor>
        </w:drawing>
      </w:r>
    </w:p>
    <w:p>
      <w:pPr>
        <w:pStyle w:val="Normal"/>
        <w:jc w:val="center"/>
        <w:rPr/>
      </w:pPr>
      <w:r>
        <w:rPr>
          <w:i/>
        </w:rPr>
        <w:t>Figure 3 – Impact Metrics Grid</w:t>
      </w:r>
    </w:p>
    <w:p>
      <w:pPr>
        <w:pStyle w:val="Normal"/>
        <w:rPr/>
      </w:pPr>
      <w:r>
        <w:rPr/>
      </w:r>
      <w:r>
        <w:br w:type="page"/>
      </w:r>
    </w:p>
    <w:p>
      <w:pPr>
        <w:pStyle w:val="Normal"/>
        <w:spacing w:before="0" w:after="200"/>
        <w:jc w:val="center"/>
        <w:rPr/>
      </w:pPr>
      <w:r>
        <w:rPr/>
        <w:drawing>
          <wp:inline distT="0" distB="0" distL="0" distR="0">
            <wp:extent cx="5943600" cy="171450"/>
            <wp:effectExtent l="0" t="0" r="0" b="0"/>
            <wp:docPr id="14" name="Picture 14"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
                    <pic:cNvPicPr>
                      <a:picLocks noChangeAspect="1" noChangeArrowheads="1"/>
                    </pic:cNvPicPr>
                  </pic:nvPicPr>
                  <pic:blipFill>
                    <a:blip r:embed="rId15"/>
                    <a:stretch>
                      <a:fillRect/>
                    </a:stretch>
                  </pic:blipFill>
                  <pic:spPr bwMode="auto">
                    <a:xfrm>
                      <a:off x="0" y="0"/>
                      <a:ext cx="5943600" cy="171450"/>
                    </a:xfrm>
                    <a:prstGeom prst="rect">
                      <a:avLst/>
                    </a:prstGeom>
                  </pic:spPr>
                </pic:pic>
              </a:graphicData>
            </a:graphic>
          </wp:inline>
        </w:drawing>
      </w:r>
    </w:p>
    <w:p>
      <w:pPr>
        <w:pStyle w:val="Normal"/>
        <w:jc w:val="center"/>
        <w:rPr/>
      </w:pPr>
      <w:r>
        <w:rPr>
          <w:i/>
        </w:rPr>
        <w:t>Figure 4 – Funding KPI Snapshot</w:t>
      </w:r>
    </w:p>
    <w:p>
      <w:pPr>
        <w:pStyle w:val="Normal"/>
        <w:rPr/>
      </w:pPr>
      <w:r>
        <w:rPr/>
      </w:r>
      <w:r>
        <w:br w:type="page"/>
      </w:r>
    </w:p>
    <w:p>
      <w:pPr>
        <w:pStyle w:val="Normal"/>
        <w:spacing w:before="0" w:after="200"/>
        <w:jc w:val="center"/>
        <w:rPr/>
      </w:pPr>
      <w:r>
        <w:rPr/>
        <w:drawing>
          <wp:inline distT="0" distB="0" distL="0" distR="0">
            <wp:extent cx="5943600" cy="5943600"/>
            <wp:effectExtent l="0" t="0" r="0" b="0"/>
            <wp:docPr id="15" name="Picture 15"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
                    <pic:cNvPicPr>
                      <a:picLocks noChangeAspect="1" noChangeArrowheads="1"/>
                    </pic:cNvPicPr>
                  </pic:nvPicPr>
                  <pic:blipFill>
                    <a:blip r:embed="rId16"/>
                    <a:stretch>
                      <a:fillRect/>
                    </a:stretch>
                  </pic:blipFill>
                  <pic:spPr bwMode="auto">
                    <a:xfrm>
                      <a:off x="0" y="0"/>
                      <a:ext cx="5943600" cy="5943600"/>
                    </a:xfrm>
                    <a:prstGeom prst="rect">
                      <a:avLst/>
                    </a:prstGeom>
                  </pic:spPr>
                </pic:pic>
              </a:graphicData>
            </a:graphic>
          </wp:inline>
        </w:drawing>
      </w:r>
    </w:p>
    <w:p>
      <w:pPr>
        <w:pStyle w:val="Normal"/>
        <w:jc w:val="center"/>
        <w:rPr/>
      </w:pPr>
      <w:r>
        <w:rPr>
          <w:i/>
        </w:rPr>
        <w:t>Figure 5 – Funding Allocation</w:t>
      </w:r>
    </w:p>
    <w:p>
      <w:pPr>
        <w:pStyle w:val="Normal"/>
        <w:rPr/>
      </w:pPr>
      <w:r>
        <w:rPr/>
      </w:r>
      <w:r>
        <w:br w:type="page"/>
      </w:r>
    </w:p>
    <w:p>
      <w:pPr>
        <w:pStyle w:val="Normal"/>
        <w:spacing w:before="0" w:after="200"/>
        <w:jc w:val="center"/>
        <w:rPr/>
      </w:pPr>
      <w:r>
        <w:rPr/>
        <w:drawing>
          <wp:inline distT="0" distB="0" distL="0" distR="0">
            <wp:extent cx="5943600" cy="3714750"/>
            <wp:effectExtent l="0" t="0" r="0" b="0"/>
            <wp:docPr id="16" name="Picture 16"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descr=""/>
                    <pic:cNvPicPr>
                      <a:picLocks noChangeAspect="1" noChangeArrowheads="1"/>
                    </pic:cNvPicPr>
                  </pic:nvPicPr>
                  <pic:blipFill>
                    <a:blip r:embed="rId17"/>
                    <a:stretch>
                      <a:fillRect/>
                    </a:stretch>
                  </pic:blipFill>
                  <pic:spPr bwMode="auto">
                    <a:xfrm>
                      <a:off x="0" y="0"/>
                      <a:ext cx="5943600" cy="3714750"/>
                    </a:xfrm>
                    <a:prstGeom prst="rect">
                      <a:avLst/>
                    </a:prstGeom>
                  </pic:spPr>
                </pic:pic>
              </a:graphicData>
            </a:graphic>
          </wp:inline>
        </w:drawing>
      </w:r>
    </w:p>
    <w:p>
      <w:pPr>
        <w:pStyle w:val="Normal"/>
        <w:jc w:val="center"/>
        <w:rPr/>
      </w:pPr>
      <w:r>
        <w:rPr>
          <w:i/>
        </w:rPr>
        <w:t>Figure 6 – ESG: Jobs Created &amp; Land Restored</w:t>
      </w:r>
    </w:p>
    <w:p>
      <w:pPr>
        <w:pStyle w:val="Normal"/>
        <w:rPr/>
      </w:pPr>
      <w:r>
        <w:rPr/>
      </w:r>
      <w:r>
        <w:br w:type="page"/>
      </w:r>
    </w:p>
    <w:p>
      <w:pPr>
        <w:pStyle w:val="Normal"/>
        <w:spacing w:before="0" w:after="200"/>
        <w:jc w:val="center"/>
        <w:rPr/>
      </w:pPr>
      <w:r>
        <w:rPr/>
        <w:drawing>
          <wp:inline distT="0" distB="0" distL="0" distR="0">
            <wp:extent cx="5943600" cy="4953000"/>
            <wp:effectExtent l="0" t="0" r="0" b="0"/>
            <wp:docPr id="17" name="Picture 17"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descr=""/>
                    <pic:cNvPicPr>
                      <a:picLocks noChangeAspect="1" noChangeArrowheads="1"/>
                    </pic:cNvPicPr>
                  </pic:nvPicPr>
                  <pic:blipFill>
                    <a:blip r:embed="rId18"/>
                    <a:stretch>
                      <a:fillRect/>
                    </a:stretch>
                  </pic:blipFill>
                  <pic:spPr bwMode="auto">
                    <a:xfrm>
                      <a:off x="0" y="0"/>
                      <a:ext cx="5943600" cy="4953000"/>
                    </a:xfrm>
                    <a:prstGeom prst="rect">
                      <a:avLst/>
                    </a:prstGeom>
                  </pic:spPr>
                </pic:pic>
              </a:graphicData>
            </a:graphic>
          </wp:inline>
        </w:drawing>
      </w:r>
    </w:p>
    <w:p>
      <w:pPr>
        <w:pStyle w:val="Normal"/>
        <w:jc w:val="center"/>
        <w:rPr/>
      </w:pPr>
      <w:r>
        <w:rPr>
          <w:i/>
        </w:rPr>
        <w:t>Figure 7 – IRR Sensitivity</w:t>
      </w:r>
    </w:p>
    <w:p>
      <w:pPr>
        <w:pStyle w:val="Normal"/>
        <w:rPr/>
      </w:pPr>
      <w:r>
        <w:rPr/>
      </w:r>
      <w:r>
        <w:br w:type="page"/>
      </w:r>
    </w:p>
    <w:p>
      <w:pPr>
        <w:pStyle w:val="Normal"/>
        <w:spacing w:before="0" w:after="200"/>
        <w:jc w:val="center"/>
        <w:rPr/>
      </w:pPr>
      <w:r>
        <w:rPr/>
        <w:drawing>
          <wp:inline distT="0" distB="0" distL="0" distR="0">
            <wp:extent cx="5943600" cy="3714750"/>
            <wp:effectExtent l="0" t="0" r="0" b="0"/>
            <wp:docPr id="18" name="Picture 18"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
                    <pic:cNvPicPr>
                      <a:picLocks noChangeAspect="1" noChangeArrowheads="1"/>
                    </pic:cNvPicPr>
                  </pic:nvPicPr>
                  <pic:blipFill>
                    <a:blip r:embed="rId19"/>
                    <a:stretch>
                      <a:fillRect/>
                    </a:stretch>
                  </pic:blipFill>
                  <pic:spPr bwMode="auto">
                    <a:xfrm>
                      <a:off x="0" y="0"/>
                      <a:ext cx="5943600" cy="3714750"/>
                    </a:xfrm>
                    <a:prstGeom prst="rect">
                      <a:avLst/>
                    </a:prstGeom>
                  </pic:spPr>
                </pic:pic>
              </a:graphicData>
            </a:graphic>
          </wp:inline>
        </w:drawing>
      </w:r>
    </w:p>
    <w:p>
      <w:pPr>
        <w:pStyle w:val="Normal"/>
        <w:jc w:val="center"/>
        <w:rPr/>
      </w:pPr>
      <w:r>
        <w:rPr>
          <w:i/>
        </w:rPr>
        <w:t>Figure 8 – 5</w:t>
        <w:noBreakHyphen/>
        <w:t>Year Financial Projection</w:t>
      </w:r>
    </w:p>
    <w:p>
      <w:pPr>
        <w:pStyle w:val="Normal"/>
        <w:rPr/>
      </w:pPr>
      <w:r>
        <w:rPr/>
      </w:r>
      <w:r>
        <w:br w:type="page"/>
      </w:r>
    </w:p>
    <w:p>
      <w:pPr>
        <w:pStyle w:val="Heading1"/>
        <w:spacing w:before="0" w:after="0"/>
        <w:rPr/>
      </w:pPr>
      <w:r>
        <w:rPr/>
        <w:t>Annex Overview</w:t>
      </w:r>
    </w:p>
    <w:tbl>
      <w:tblPr>
        <w:tblStyle w:val="TableGrid"/>
        <w:tblW w:w="8640" w:type="dxa"/>
        <w:jc w:val="left"/>
        <w:tblInd w:w="0" w:type="dxa"/>
        <w:tblLayout w:type="fixed"/>
        <w:tblCellMar>
          <w:top w:w="0" w:type="dxa"/>
          <w:left w:w="108" w:type="dxa"/>
          <w:bottom w:w="0" w:type="dxa"/>
          <w:right w:w="108" w:type="dxa"/>
        </w:tblCellMar>
        <w:tblLook w:firstRow="1" w:noVBand="1" w:lastRow="0" w:firstColumn="1" w:lastColumn="0" w:noHBand="0" w:val="04a0"/>
      </w:tblPr>
      <w:tblGrid>
        <w:gridCol w:w="2880"/>
        <w:gridCol w:w="2880"/>
        <w:gridCol w:w="2880"/>
      </w:tblGrid>
      <w:tr>
        <w:trPr/>
        <w:tc>
          <w:tcPr>
            <w:tcW w:w="2880" w:type="dxa"/>
            <w:tcBorders/>
          </w:tcPr>
          <w:p>
            <w:pPr>
              <w:pStyle w:val="Normal"/>
              <w:widowControl/>
              <w:suppressAutoHyphens w:val="true"/>
              <w:spacing w:lineRule="auto" w:line="240" w:before="0" w:after="0"/>
              <w:jc w:val="left"/>
              <w:rPr>
                <w:rFonts w:ascii="Cambria" w:hAnsi="Cambria" w:eastAsia="ＭＳ 明朝" w:cs=""/>
                <w:kern w:val="0"/>
                <w:sz w:val="22"/>
                <w:szCs w:val="22"/>
                <w:lang w:val="en-US" w:eastAsia="en-US" w:bidi="ar-SA"/>
              </w:rPr>
            </w:pPr>
            <w:r>
              <w:rPr>
                <w:rFonts w:eastAsia="ＭＳ 明朝" w:cs=""/>
                <w:kern w:val="0"/>
                <w:sz w:val="22"/>
                <w:szCs w:val="22"/>
                <w:lang w:val="en-US" w:eastAsia="en-US" w:bidi="ar-SA"/>
              </w:rPr>
              <w:t>Annex</w:t>
            </w:r>
          </w:p>
        </w:tc>
        <w:tc>
          <w:tcPr>
            <w:tcW w:w="2880" w:type="dxa"/>
            <w:tcBorders/>
          </w:tcPr>
          <w:p>
            <w:pPr>
              <w:pStyle w:val="Normal"/>
              <w:widowControl/>
              <w:suppressAutoHyphens w:val="true"/>
              <w:spacing w:lineRule="auto" w:line="240" w:before="0" w:after="0"/>
              <w:jc w:val="left"/>
              <w:rPr>
                <w:rFonts w:ascii="Cambria" w:hAnsi="Cambria" w:eastAsia="ＭＳ 明朝" w:cs=""/>
                <w:kern w:val="0"/>
                <w:sz w:val="22"/>
                <w:szCs w:val="22"/>
                <w:lang w:val="en-US" w:eastAsia="en-US" w:bidi="ar-SA"/>
              </w:rPr>
            </w:pPr>
            <w:r>
              <w:rPr>
                <w:rFonts w:eastAsia="ＭＳ 明朝" w:cs=""/>
                <w:kern w:val="0"/>
                <w:sz w:val="22"/>
                <w:szCs w:val="22"/>
                <w:lang w:val="en-US" w:eastAsia="en-US" w:bidi="ar-SA"/>
              </w:rPr>
              <w:t>Title</w:t>
            </w:r>
          </w:p>
        </w:tc>
        <w:tc>
          <w:tcPr>
            <w:tcW w:w="2880" w:type="dxa"/>
            <w:tcBorders/>
          </w:tcPr>
          <w:p>
            <w:pPr>
              <w:pStyle w:val="Normal"/>
              <w:widowControl/>
              <w:suppressAutoHyphens w:val="true"/>
              <w:spacing w:lineRule="auto" w:line="240" w:before="0" w:after="0"/>
              <w:jc w:val="left"/>
              <w:rPr>
                <w:rFonts w:ascii="Cambria" w:hAnsi="Cambria" w:eastAsia="ＭＳ 明朝" w:cs=""/>
                <w:kern w:val="0"/>
                <w:sz w:val="22"/>
                <w:szCs w:val="22"/>
                <w:lang w:val="en-US" w:eastAsia="en-US" w:bidi="ar-SA"/>
              </w:rPr>
            </w:pPr>
            <w:r>
              <w:rPr>
                <w:rFonts w:eastAsia="ＭＳ 明朝" w:cs=""/>
                <w:kern w:val="0"/>
                <w:sz w:val="22"/>
                <w:szCs w:val="22"/>
                <w:lang w:val="en-US" w:eastAsia="en-US" w:bidi="ar-SA"/>
              </w:rPr>
              <w:t>Content Overview</w:t>
            </w:r>
          </w:p>
        </w:tc>
      </w:tr>
      <w:tr>
        <w:trPr/>
        <w:tc>
          <w:tcPr>
            <w:tcW w:w="2880" w:type="dxa"/>
            <w:tcBorders/>
          </w:tcPr>
          <w:p>
            <w:pPr>
              <w:pStyle w:val="Normal"/>
              <w:widowControl/>
              <w:suppressAutoHyphens w:val="true"/>
              <w:spacing w:lineRule="auto" w:line="240" w:before="0" w:after="0"/>
              <w:jc w:val="left"/>
              <w:rPr>
                <w:rFonts w:ascii="Cambria" w:hAnsi="Cambria" w:eastAsia="ＭＳ 明朝" w:cs=""/>
                <w:kern w:val="0"/>
                <w:sz w:val="22"/>
                <w:szCs w:val="22"/>
                <w:lang w:val="en-US" w:eastAsia="en-US" w:bidi="ar-SA"/>
              </w:rPr>
            </w:pPr>
            <w:r>
              <w:rPr>
                <w:rFonts w:eastAsia="ＭＳ 明朝" w:cs=""/>
                <w:kern w:val="0"/>
                <w:sz w:val="22"/>
                <w:szCs w:val="22"/>
                <w:lang w:val="en-US" w:eastAsia="en-US" w:bidi="ar-SA"/>
              </w:rPr>
              <w:t>A</w:t>
            </w:r>
          </w:p>
        </w:tc>
        <w:tc>
          <w:tcPr>
            <w:tcW w:w="2880" w:type="dxa"/>
            <w:tcBorders/>
          </w:tcPr>
          <w:p>
            <w:pPr>
              <w:pStyle w:val="Normal"/>
              <w:widowControl/>
              <w:suppressAutoHyphens w:val="true"/>
              <w:spacing w:lineRule="auto" w:line="240" w:before="0" w:after="0"/>
              <w:jc w:val="left"/>
              <w:rPr>
                <w:rFonts w:ascii="Cambria" w:hAnsi="Cambria" w:eastAsia="ＭＳ 明朝" w:cs=""/>
                <w:kern w:val="0"/>
                <w:sz w:val="22"/>
                <w:szCs w:val="22"/>
                <w:lang w:val="en-US" w:eastAsia="en-US" w:bidi="ar-SA"/>
              </w:rPr>
            </w:pPr>
            <w:r>
              <w:rPr>
                <w:rFonts w:eastAsia="ＭＳ 明朝" w:cs=""/>
                <w:kern w:val="0"/>
                <w:sz w:val="22"/>
                <w:szCs w:val="22"/>
                <w:lang w:val="en-US" w:eastAsia="en-US" w:bidi="ar-SA"/>
              </w:rPr>
              <w:t>Financial Tables</w:t>
            </w:r>
          </w:p>
        </w:tc>
        <w:tc>
          <w:tcPr>
            <w:tcW w:w="2880" w:type="dxa"/>
            <w:tcBorders/>
          </w:tcPr>
          <w:p>
            <w:pPr>
              <w:pStyle w:val="Normal"/>
              <w:widowControl/>
              <w:suppressAutoHyphens w:val="true"/>
              <w:spacing w:lineRule="auto" w:line="240" w:before="0" w:after="0"/>
              <w:jc w:val="left"/>
              <w:rPr>
                <w:rFonts w:ascii="Cambria" w:hAnsi="Cambria" w:eastAsia="ＭＳ 明朝" w:cs=""/>
                <w:kern w:val="0"/>
                <w:sz w:val="22"/>
                <w:szCs w:val="22"/>
                <w:lang w:val="en-US" w:eastAsia="en-US" w:bidi="ar-SA"/>
              </w:rPr>
            </w:pPr>
            <w:r>
              <w:rPr>
                <w:rFonts w:eastAsia="ＭＳ 明朝" w:cs=""/>
                <w:kern w:val="0"/>
                <w:sz w:val="22"/>
                <w:szCs w:val="22"/>
                <w:lang w:val="en-US" w:eastAsia="en-US" w:bidi="ar-SA"/>
              </w:rPr>
              <w:t>5</w:t>
              <w:noBreakHyphen/>
              <w:t>year projections, EBITDA, cash flow, DSCR, ROI &amp; payback.</w:t>
            </w:r>
          </w:p>
        </w:tc>
      </w:tr>
      <w:tr>
        <w:trPr/>
        <w:tc>
          <w:tcPr>
            <w:tcW w:w="2880" w:type="dxa"/>
            <w:tcBorders/>
          </w:tcPr>
          <w:p>
            <w:pPr>
              <w:pStyle w:val="Normal"/>
              <w:widowControl/>
              <w:suppressAutoHyphens w:val="true"/>
              <w:spacing w:lineRule="auto" w:line="240" w:before="0" w:after="0"/>
              <w:jc w:val="left"/>
              <w:rPr>
                <w:rFonts w:ascii="Cambria" w:hAnsi="Cambria" w:eastAsia="ＭＳ 明朝" w:cs=""/>
                <w:kern w:val="0"/>
                <w:sz w:val="22"/>
                <w:szCs w:val="22"/>
                <w:lang w:val="en-US" w:eastAsia="en-US" w:bidi="ar-SA"/>
              </w:rPr>
            </w:pPr>
            <w:r>
              <w:rPr>
                <w:rFonts w:eastAsia="ＭＳ 明朝" w:cs=""/>
                <w:kern w:val="0"/>
                <w:sz w:val="22"/>
                <w:szCs w:val="22"/>
                <w:lang w:val="en-US" w:eastAsia="en-US" w:bidi="ar-SA"/>
              </w:rPr>
              <w:t>B</w:t>
            </w:r>
          </w:p>
        </w:tc>
        <w:tc>
          <w:tcPr>
            <w:tcW w:w="2880" w:type="dxa"/>
            <w:tcBorders/>
          </w:tcPr>
          <w:p>
            <w:pPr>
              <w:pStyle w:val="Normal"/>
              <w:widowControl/>
              <w:suppressAutoHyphens w:val="true"/>
              <w:spacing w:lineRule="auto" w:line="240" w:before="0" w:after="0"/>
              <w:jc w:val="left"/>
              <w:rPr>
                <w:rFonts w:ascii="Cambria" w:hAnsi="Cambria" w:eastAsia="ＭＳ 明朝" w:cs=""/>
                <w:kern w:val="0"/>
                <w:sz w:val="22"/>
                <w:szCs w:val="22"/>
                <w:lang w:val="en-US" w:eastAsia="en-US" w:bidi="ar-SA"/>
              </w:rPr>
            </w:pPr>
            <w:r>
              <w:rPr>
                <w:rFonts w:eastAsia="ＭＳ 明朝" w:cs=""/>
                <w:kern w:val="0"/>
                <w:sz w:val="22"/>
                <w:szCs w:val="22"/>
                <w:lang w:val="en-US" w:eastAsia="en-US" w:bidi="ar-SA"/>
              </w:rPr>
              <w:t>IRR Sensitivity</w:t>
            </w:r>
          </w:p>
        </w:tc>
        <w:tc>
          <w:tcPr>
            <w:tcW w:w="2880" w:type="dxa"/>
            <w:tcBorders/>
          </w:tcPr>
          <w:p>
            <w:pPr>
              <w:pStyle w:val="Normal"/>
              <w:widowControl/>
              <w:suppressAutoHyphens w:val="true"/>
              <w:spacing w:lineRule="auto" w:line="240" w:before="0" w:after="0"/>
              <w:jc w:val="left"/>
              <w:rPr>
                <w:rFonts w:ascii="Cambria" w:hAnsi="Cambria" w:eastAsia="ＭＳ 明朝" w:cs=""/>
                <w:kern w:val="0"/>
                <w:sz w:val="22"/>
                <w:szCs w:val="22"/>
                <w:lang w:val="en-US" w:eastAsia="en-US" w:bidi="ar-SA"/>
              </w:rPr>
            </w:pPr>
            <w:r>
              <w:rPr>
                <w:rFonts w:eastAsia="ＭＳ 明朝" w:cs=""/>
                <w:kern w:val="0"/>
                <w:sz w:val="22"/>
                <w:szCs w:val="22"/>
                <w:lang w:val="en-US" w:eastAsia="en-US" w:bidi="ar-SA"/>
              </w:rPr>
              <w:t>Downside/base/upside scenarios; NPV and payback logic.</w:t>
            </w:r>
          </w:p>
        </w:tc>
      </w:tr>
      <w:tr>
        <w:trPr/>
        <w:tc>
          <w:tcPr>
            <w:tcW w:w="2880" w:type="dxa"/>
            <w:tcBorders/>
          </w:tcPr>
          <w:p>
            <w:pPr>
              <w:pStyle w:val="Normal"/>
              <w:widowControl/>
              <w:suppressAutoHyphens w:val="true"/>
              <w:spacing w:lineRule="auto" w:line="240" w:before="0" w:after="0"/>
              <w:jc w:val="left"/>
              <w:rPr>
                <w:rFonts w:ascii="Cambria" w:hAnsi="Cambria" w:eastAsia="ＭＳ 明朝" w:cs=""/>
                <w:kern w:val="0"/>
                <w:sz w:val="22"/>
                <w:szCs w:val="22"/>
                <w:lang w:val="en-US" w:eastAsia="en-US" w:bidi="ar-SA"/>
              </w:rPr>
            </w:pPr>
            <w:r>
              <w:rPr>
                <w:rFonts w:eastAsia="ＭＳ 明朝" w:cs=""/>
                <w:kern w:val="0"/>
                <w:sz w:val="22"/>
                <w:szCs w:val="22"/>
                <w:lang w:val="en-US" w:eastAsia="en-US" w:bidi="ar-SA"/>
              </w:rPr>
              <w:t>C</w:t>
            </w:r>
          </w:p>
        </w:tc>
        <w:tc>
          <w:tcPr>
            <w:tcW w:w="2880" w:type="dxa"/>
            <w:tcBorders/>
          </w:tcPr>
          <w:p>
            <w:pPr>
              <w:pStyle w:val="Normal"/>
              <w:widowControl/>
              <w:suppressAutoHyphens w:val="true"/>
              <w:spacing w:lineRule="auto" w:line="240" w:before="0" w:after="0"/>
              <w:jc w:val="left"/>
              <w:rPr>
                <w:rFonts w:ascii="Cambria" w:hAnsi="Cambria" w:eastAsia="ＭＳ 明朝" w:cs=""/>
                <w:kern w:val="0"/>
                <w:sz w:val="22"/>
                <w:szCs w:val="22"/>
                <w:lang w:val="en-US" w:eastAsia="en-US" w:bidi="ar-SA"/>
              </w:rPr>
            </w:pPr>
            <w:r>
              <w:rPr>
                <w:rFonts w:eastAsia="ＭＳ 明朝" w:cs=""/>
                <w:kern w:val="0"/>
                <w:sz w:val="22"/>
                <w:szCs w:val="22"/>
                <w:lang w:val="en-US" w:eastAsia="en-US" w:bidi="ar-SA"/>
              </w:rPr>
              <w:t>ESG &amp; SDG Impact</w:t>
            </w:r>
          </w:p>
        </w:tc>
        <w:tc>
          <w:tcPr>
            <w:tcW w:w="2880" w:type="dxa"/>
            <w:tcBorders/>
          </w:tcPr>
          <w:p>
            <w:pPr>
              <w:pStyle w:val="Normal"/>
              <w:widowControl/>
              <w:suppressAutoHyphens w:val="true"/>
              <w:spacing w:lineRule="auto" w:line="240" w:before="0" w:after="0"/>
              <w:jc w:val="left"/>
              <w:rPr>
                <w:rFonts w:ascii="Cambria" w:hAnsi="Cambria" w:eastAsia="ＭＳ 明朝" w:cs=""/>
                <w:kern w:val="0"/>
                <w:sz w:val="22"/>
                <w:szCs w:val="22"/>
                <w:lang w:val="en-US" w:eastAsia="en-US" w:bidi="ar-SA"/>
              </w:rPr>
            </w:pPr>
            <w:r>
              <w:rPr>
                <w:rFonts w:eastAsia="ＭＳ 明朝" w:cs=""/>
                <w:kern w:val="0"/>
                <w:sz w:val="22"/>
                <w:szCs w:val="22"/>
                <w:lang w:val="en-US" w:eastAsia="en-US" w:bidi="ar-SA"/>
              </w:rPr>
              <w:t>Jobs, land restored, carbon negative, biodiversity &amp; SDG links.</w:t>
            </w:r>
          </w:p>
        </w:tc>
      </w:tr>
      <w:tr>
        <w:trPr/>
        <w:tc>
          <w:tcPr>
            <w:tcW w:w="2880" w:type="dxa"/>
            <w:tcBorders/>
          </w:tcPr>
          <w:p>
            <w:pPr>
              <w:pStyle w:val="Normal"/>
              <w:widowControl/>
              <w:suppressAutoHyphens w:val="true"/>
              <w:spacing w:lineRule="auto" w:line="240" w:before="0" w:after="0"/>
              <w:jc w:val="left"/>
              <w:rPr>
                <w:rFonts w:ascii="Cambria" w:hAnsi="Cambria" w:eastAsia="ＭＳ 明朝" w:cs=""/>
                <w:kern w:val="0"/>
                <w:sz w:val="22"/>
                <w:szCs w:val="22"/>
                <w:lang w:val="en-US" w:eastAsia="en-US" w:bidi="ar-SA"/>
              </w:rPr>
            </w:pPr>
            <w:r>
              <w:rPr>
                <w:rFonts w:eastAsia="ＭＳ 明朝" w:cs=""/>
                <w:kern w:val="0"/>
                <w:sz w:val="22"/>
                <w:szCs w:val="22"/>
                <w:lang w:val="en-US" w:eastAsia="en-US" w:bidi="ar-SA"/>
              </w:rPr>
              <w:t>D</w:t>
            </w:r>
          </w:p>
        </w:tc>
        <w:tc>
          <w:tcPr>
            <w:tcW w:w="2880" w:type="dxa"/>
            <w:tcBorders/>
          </w:tcPr>
          <w:p>
            <w:pPr>
              <w:pStyle w:val="Normal"/>
              <w:widowControl/>
              <w:suppressAutoHyphens w:val="true"/>
              <w:spacing w:lineRule="auto" w:line="240" w:before="0" w:after="0"/>
              <w:jc w:val="left"/>
              <w:rPr>
                <w:rFonts w:ascii="Cambria" w:hAnsi="Cambria" w:eastAsia="ＭＳ 明朝" w:cs=""/>
                <w:kern w:val="0"/>
                <w:sz w:val="22"/>
                <w:szCs w:val="22"/>
                <w:lang w:val="en-US" w:eastAsia="en-US" w:bidi="ar-SA"/>
              </w:rPr>
            </w:pPr>
            <w:r>
              <w:rPr>
                <w:rFonts w:eastAsia="ＭＳ 明朝" w:cs=""/>
                <w:kern w:val="0"/>
                <w:sz w:val="22"/>
                <w:szCs w:val="22"/>
                <w:lang w:val="en-US" w:eastAsia="en-US" w:bidi="ar-SA"/>
              </w:rPr>
              <w:t>Risk Register</w:t>
            </w:r>
          </w:p>
        </w:tc>
        <w:tc>
          <w:tcPr>
            <w:tcW w:w="2880" w:type="dxa"/>
            <w:tcBorders/>
          </w:tcPr>
          <w:p>
            <w:pPr>
              <w:pStyle w:val="Normal"/>
              <w:widowControl/>
              <w:suppressAutoHyphens w:val="true"/>
              <w:spacing w:lineRule="auto" w:line="240" w:before="0" w:after="0"/>
              <w:jc w:val="left"/>
              <w:rPr>
                <w:rFonts w:ascii="Cambria" w:hAnsi="Cambria" w:eastAsia="ＭＳ 明朝" w:cs=""/>
                <w:kern w:val="0"/>
                <w:sz w:val="22"/>
                <w:szCs w:val="22"/>
                <w:lang w:val="en-US" w:eastAsia="en-US" w:bidi="ar-SA"/>
              </w:rPr>
            </w:pPr>
            <w:r>
              <w:rPr>
                <w:rFonts w:eastAsia="ＭＳ 明朝" w:cs=""/>
                <w:kern w:val="0"/>
                <w:sz w:val="22"/>
                <w:szCs w:val="22"/>
                <w:lang w:val="en-US" w:eastAsia="en-US" w:bidi="ar-SA"/>
              </w:rPr>
              <w:t>Likelihood/impact scoring with mitigation owners &amp; actions.</w:t>
            </w:r>
          </w:p>
        </w:tc>
      </w:tr>
      <w:tr>
        <w:trPr/>
        <w:tc>
          <w:tcPr>
            <w:tcW w:w="2880" w:type="dxa"/>
            <w:tcBorders/>
          </w:tcPr>
          <w:p>
            <w:pPr>
              <w:pStyle w:val="Normal"/>
              <w:widowControl/>
              <w:suppressAutoHyphens w:val="true"/>
              <w:spacing w:lineRule="auto" w:line="240" w:before="0" w:after="0"/>
              <w:jc w:val="left"/>
              <w:rPr>
                <w:rFonts w:ascii="Cambria" w:hAnsi="Cambria" w:eastAsia="ＭＳ 明朝" w:cs=""/>
                <w:kern w:val="0"/>
                <w:sz w:val="22"/>
                <w:szCs w:val="22"/>
                <w:lang w:val="en-US" w:eastAsia="en-US" w:bidi="ar-SA"/>
              </w:rPr>
            </w:pPr>
            <w:r>
              <w:rPr>
                <w:rFonts w:eastAsia="ＭＳ 明朝" w:cs=""/>
                <w:kern w:val="0"/>
                <w:sz w:val="22"/>
                <w:szCs w:val="22"/>
                <w:lang w:val="en-US" w:eastAsia="en-US" w:bidi="ar-SA"/>
              </w:rPr>
              <w:t>E</w:t>
            </w:r>
          </w:p>
        </w:tc>
        <w:tc>
          <w:tcPr>
            <w:tcW w:w="2880" w:type="dxa"/>
            <w:tcBorders/>
          </w:tcPr>
          <w:p>
            <w:pPr>
              <w:pStyle w:val="Normal"/>
              <w:widowControl/>
              <w:suppressAutoHyphens w:val="true"/>
              <w:spacing w:lineRule="auto" w:line="240" w:before="0" w:after="0"/>
              <w:jc w:val="left"/>
              <w:rPr>
                <w:rFonts w:ascii="Cambria" w:hAnsi="Cambria" w:eastAsia="ＭＳ 明朝" w:cs=""/>
                <w:kern w:val="0"/>
                <w:sz w:val="22"/>
                <w:szCs w:val="22"/>
                <w:lang w:val="en-US" w:eastAsia="en-US" w:bidi="ar-SA"/>
              </w:rPr>
            </w:pPr>
            <w:r>
              <w:rPr>
                <w:rFonts w:eastAsia="ＭＳ 明朝" w:cs=""/>
                <w:kern w:val="0"/>
                <w:sz w:val="22"/>
                <w:szCs w:val="22"/>
                <w:lang w:val="en-US" w:eastAsia="en-US" w:bidi="ar-SA"/>
              </w:rPr>
              <w:t>Funding Scenarios</w:t>
            </w:r>
          </w:p>
        </w:tc>
        <w:tc>
          <w:tcPr>
            <w:tcW w:w="2880" w:type="dxa"/>
            <w:tcBorders/>
          </w:tcPr>
          <w:p>
            <w:pPr>
              <w:pStyle w:val="Normal"/>
              <w:widowControl/>
              <w:suppressAutoHyphens w:val="true"/>
              <w:spacing w:lineRule="auto" w:line="240" w:before="0" w:after="0"/>
              <w:jc w:val="left"/>
              <w:rPr>
                <w:rFonts w:ascii="Cambria" w:hAnsi="Cambria" w:eastAsia="ＭＳ 明朝" w:cs=""/>
                <w:kern w:val="0"/>
                <w:sz w:val="22"/>
                <w:szCs w:val="22"/>
                <w:lang w:val="en-US" w:eastAsia="en-US" w:bidi="ar-SA"/>
              </w:rPr>
            </w:pPr>
            <w:r>
              <w:rPr>
                <w:rFonts w:eastAsia="ＭＳ 明朝" w:cs=""/>
                <w:kern w:val="0"/>
                <w:sz w:val="22"/>
                <w:szCs w:val="22"/>
                <w:lang w:val="en-US" w:eastAsia="en-US" w:bidi="ar-SA"/>
              </w:rPr>
              <w:t>Equity, blended, and staged structures vs returns.</w:t>
            </w:r>
          </w:p>
        </w:tc>
      </w:tr>
      <w:tr>
        <w:trPr/>
        <w:tc>
          <w:tcPr>
            <w:tcW w:w="2880" w:type="dxa"/>
            <w:tcBorders/>
          </w:tcPr>
          <w:p>
            <w:pPr>
              <w:pStyle w:val="Normal"/>
              <w:widowControl/>
              <w:suppressAutoHyphens w:val="true"/>
              <w:spacing w:lineRule="auto" w:line="240" w:before="0" w:after="0"/>
              <w:jc w:val="left"/>
              <w:rPr>
                <w:rFonts w:ascii="Cambria" w:hAnsi="Cambria" w:eastAsia="ＭＳ 明朝" w:cs=""/>
                <w:kern w:val="0"/>
                <w:sz w:val="22"/>
                <w:szCs w:val="22"/>
                <w:lang w:val="en-US" w:eastAsia="en-US" w:bidi="ar-SA"/>
              </w:rPr>
            </w:pPr>
            <w:r>
              <w:rPr>
                <w:rFonts w:eastAsia="ＭＳ 明朝" w:cs=""/>
                <w:kern w:val="0"/>
                <w:sz w:val="22"/>
                <w:szCs w:val="22"/>
                <w:lang w:val="en-US" w:eastAsia="en-US" w:bidi="ar-SA"/>
              </w:rPr>
              <w:t>F</w:t>
            </w:r>
          </w:p>
        </w:tc>
        <w:tc>
          <w:tcPr>
            <w:tcW w:w="2880" w:type="dxa"/>
            <w:tcBorders/>
          </w:tcPr>
          <w:p>
            <w:pPr>
              <w:pStyle w:val="Normal"/>
              <w:widowControl/>
              <w:suppressAutoHyphens w:val="true"/>
              <w:spacing w:lineRule="auto" w:line="240" w:before="0" w:after="0"/>
              <w:jc w:val="left"/>
              <w:rPr>
                <w:rFonts w:ascii="Cambria" w:hAnsi="Cambria" w:eastAsia="ＭＳ 明朝" w:cs=""/>
                <w:kern w:val="0"/>
                <w:sz w:val="22"/>
                <w:szCs w:val="22"/>
                <w:lang w:val="en-US" w:eastAsia="en-US" w:bidi="ar-SA"/>
              </w:rPr>
            </w:pPr>
            <w:r>
              <w:rPr>
                <w:rFonts w:eastAsia="ＭＳ 明朝" w:cs=""/>
                <w:kern w:val="0"/>
                <w:sz w:val="22"/>
                <w:szCs w:val="22"/>
                <w:lang w:val="en-US" w:eastAsia="en-US" w:bidi="ar-SA"/>
              </w:rPr>
              <w:t>Dashboard</w:t>
            </w:r>
          </w:p>
        </w:tc>
        <w:tc>
          <w:tcPr>
            <w:tcW w:w="2880" w:type="dxa"/>
            <w:tcBorders/>
          </w:tcPr>
          <w:p>
            <w:pPr>
              <w:pStyle w:val="Normal"/>
              <w:widowControl/>
              <w:suppressAutoHyphens w:val="true"/>
              <w:spacing w:lineRule="auto" w:line="240" w:before="0" w:after="0"/>
              <w:jc w:val="left"/>
              <w:rPr>
                <w:rFonts w:ascii="Cambria" w:hAnsi="Cambria" w:eastAsia="ＭＳ 明朝" w:cs=""/>
                <w:kern w:val="0"/>
                <w:sz w:val="22"/>
                <w:szCs w:val="22"/>
                <w:lang w:val="en-US" w:eastAsia="en-US" w:bidi="ar-SA"/>
              </w:rPr>
            </w:pPr>
            <w:r>
              <w:rPr>
                <w:rFonts w:eastAsia="ＭＳ 明朝" w:cs=""/>
                <w:kern w:val="0"/>
                <w:sz w:val="22"/>
                <w:szCs w:val="22"/>
                <w:lang w:val="en-US" w:eastAsia="en-US" w:bidi="ar-SA"/>
              </w:rPr>
              <w:t>KPI progression (IRR, jobs, land, carbon credits).</w:t>
            </w:r>
          </w:p>
        </w:tc>
      </w:tr>
      <w:tr>
        <w:trPr/>
        <w:tc>
          <w:tcPr>
            <w:tcW w:w="2880" w:type="dxa"/>
            <w:tcBorders/>
          </w:tcPr>
          <w:p>
            <w:pPr>
              <w:pStyle w:val="Normal"/>
              <w:widowControl/>
              <w:suppressAutoHyphens w:val="true"/>
              <w:spacing w:lineRule="auto" w:line="240" w:before="0" w:after="0"/>
              <w:jc w:val="left"/>
              <w:rPr>
                <w:rFonts w:ascii="Cambria" w:hAnsi="Cambria" w:eastAsia="ＭＳ 明朝" w:cs=""/>
                <w:kern w:val="0"/>
                <w:sz w:val="22"/>
                <w:szCs w:val="22"/>
                <w:lang w:val="en-US" w:eastAsia="en-US" w:bidi="ar-SA"/>
              </w:rPr>
            </w:pPr>
            <w:r>
              <w:rPr>
                <w:rFonts w:eastAsia="ＭＳ 明朝" w:cs=""/>
                <w:kern w:val="0"/>
                <w:sz w:val="22"/>
                <w:szCs w:val="22"/>
                <w:lang w:val="en-US" w:eastAsia="en-US" w:bidi="ar-SA"/>
              </w:rPr>
              <w:t>G</w:t>
            </w:r>
          </w:p>
        </w:tc>
        <w:tc>
          <w:tcPr>
            <w:tcW w:w="2880" w:type="dxa"/>
            <w:tcBorders/>
          </w:tcPr>
          <w:p>
            <w:pPr>
              <w:pStyle w:val="Normal"/>
              <w:widowControl/>
              <w:suppressAutoHyphens w:val="true"/>
              <w:spacing w:lineRule="auto" w:line="240" w:before="0" w:after="0"/>
              <w:jc w:val="left"/>
              <w:rPr>
                <w:rFonts w:ascii="Cambria" w:hAnsi="Cambria" w:eastAsia="ＭＳ 明朝" w:cs=""/>
                <w:kern w:val="0"/>
                <w:sz w:val="22"/>
                <w:szCs w:val="22"/>
                <w:lang w:val="en-US" w:eastAsia="en-US" w:bidi="ar-SA"/>
              </w:rPr>
            </w:pPr>
            <w:r>
              <w:rPr>
                <w:rFonts w:eastAsia="ＭＳ 明朝" w:cs=""/>
                <w:kern w:val="0"/>
                <w:sz w:val="22"/>
                <w:szCs w:val="22"/>
                <w:lang w:val="en-US" w:eastAsia="en-US" w:bidi="ar-SA"/>
              </w:rPr>
              <w:t>ESG At One Glance</w:t>
            </w:r>
          </w:p>
        </w:tc>
        <w:tc>
          <w:tcPr>
            <w:tcW w:w="2880" w:type="dxa"/>
            <w:tcBorders/>
          </w:tcPr>
          <w:p>
            <w:pPr>
              <w:pStyle w:val="Normal"/>
              <w:widowControl/>
              <w:suppressAutoHyphens w:val="true"/>
              <w:spacing w:lineRule="auto" w:line="240" w:before="0" w:after="0"/>
              <w:jc w:val="left"/>
              <w:rPr>
                <w:rFonts w:ascii="Cambria" w:hAnsi="Cambria" w:eastAsia="ＭＳ 明朝" w:cs=""/>
                <w:kern w:val="0"/>
                <w:sz w:val="22"/>
                <w:szCs w:val="22"/>
                <w:lang w:val="en-US" w:eastAsia="en-US" w:bidi="ar-SA"/>
              </w:rPr>
            </w:pPr>
            <w:r>
              <w:rPr>
                <w:rFonts w:eastAsia="ＭＳ 明朝" w:cs=""/>
                <w:kern w:val="0"/>
                <w:sz w:val="22"/>
                <w:szCs w:val="22"/>
                <w:lang w:val="en-US" w:eastAsia="en-US" w:bidi="ar-SA"/>
              </w:rPr>
              <w:t>Impact ratios: jobs per €35k, CO₂ offsets, community workshops.</w:t>
            </w:r>
          </w:p>
        </w:tc>
      </w:tr>
      <w:tr>
        <w:trPr/>
        <w:tc>
          <w:tcPr>
            <w:tcW w:w="2880" w:type="dxa"/>
            <w:tcBorders/>
          </w:tcPr>
          <w:p>
            <w:pPr>
              <w:pStyle w:val="Normal"/>
              <w:widowControl/>
              <w:suppressAutoHyphens w:val="true"/>
              <w:spacing w:lineRule="auto" w:line="240" w:before="0" w:after="0"/>
              <w:jc w:val="left"/>
              <w:rPr>
                <w:rFonts w:ascii="Cambria" w:hAnsi="Cambria" w:eastAsia="ＭＳ 明朝" w:cs=""/>
                <w:kern w:val="0"/>
                <w:sz w:val="22"/>
                <w:szCs w:val="22"/>
                <w:lang w:val="en-US" w:eastAsia="en-US" w:bidi="ar-SA"/>
              </w:rPr>
            </w:pPr>
            <w:r>
              <w:rPr>
                <w:rFonts w:eastAsia="ＭＳ 明朝" w:cs=""/>
                <w:kern w:val="0"/>
                <w:sz w:val="22"/>
                <w:szCs w:val="22"/>
                <w:lang w:val="en-US" w:eastAsia="en-US" w:bidi="ar-SA"/>
              </w:rPr>
              <w:t>H</w:t>
            </w:r>
          </w:p>
        </w:tc>
        <w:tc>
          <w:tcPr>
            <w:tcW w:w="2880" w:type="dxa"/>
            <w:tcBorders/>
          </w:tcPr>
          <w:p>
            <w:pPr>
              <w:pStyle w:val="Normal"/>
              <w:widowControl/>
              <w:suppressAutoHyphens w:val="true"/>
              <w:spacing w:lineRule="auto" w:line="240" w:before="0" w:after="0"/>
              <w:jc w:val="left"/>
              <w:rPr>
                <w:rFonts w:ascii="Cambria" w:hAnsi="Cambria" w:eastAsia="ＭＳ 明朝" w:cs=""/>
                <w:kern w:val="0"/>
                <w:sz w:val="22"/>
                <w:szCs w:val="22"/>
                <w:lang w:val="en-US" w:eastAsia="en-US" w:bidi="ar-SA"/>
              </w:rPr>
            </w:pPr>
            <w:r>
              <w:rPr>
                <w:rFonts w:eastAsia="ＭＳ 明朝" w:cs=""/>
                <w:kern w:val="0"/>
                <w:sz w:val="22"/>
                <w:szCs w:val="22"/>
                <w:lang w:val="en-US" w:eastAsia="en-US" w:bidi="ar-SA"/>
              </w:rPr>
              <w:t>Version Journey Timeline</w:t>
            </w:r>
          </w:p>
        </w:tc>
        <w:tc>
          <w:tcPr>
            <w:tcW w:w="2880" w:type="dxa"/>
            <w:tcBorders/>
          </w:tcPr>
          <w:p>
            <w:pPr>
              <w:pStyle w:val="Normal"/>
              <w:widowControl/>
              <w:suppressAutoHyphens w:val="true"/>
              <w:spacing w:lineRule="auto" w:line="240" w:before="0" w:after="0"/>
              <w:jc w:val="left"/>
              <w:rPr>
                <w:rFonts w:ascii="Cambria" w:hAnsi="Cambria" w:eastAsia="ＭＳ 明朝" w:cs=""/>
                <w:kern w:val="0"/>
                <w:sz w:val="22"/>
                <w:szCs w:val="22"/>
                <w:lang w:val="en-US" w:eastAsia="en-US" w:bidi="ar-SA"/>
              </w:rPr>
            </w:pPr>
            <w:r>
              <w:rPr>
                <w:rFonts w:eastAsia="ＭＳ 明朝" w:cs=""/>
                <w:kern w:val="0"/>
                <w:sz w:val="22"/>
                <w:szCs w:val="22"/>
                <w:lang w:val="en-US" w:eastAsia="en-US" w:bidi="ar-SA"/>
              </w:rPr>
              <w:t>Roadmap milestones Y1–Y5 and scaling.</w:t>
            </w:r>
          </w:p>
        </w:tc>
      </w:tr>
    </w:tbl>
    <w:p>
      <w:pPr>
        <w:pStyle w:val="Normal"/>
        <w:rPr/>
      </w:pPr>
      <w:r>
        <w:rPr/>
      </w:r>
      <w:r>
        <w:br w:type="page"/>
      </w:r>
    </w:p>
    <w:p>
      <w:pPr>
        <w:pStyle w:val="Normal"/>
        <w:spacing w:before="0" w:after="200"/>
        <w:jc w:val="center"/>
        <w:rPr/>
      </w:pPr>
      <w:r>
        <w:rPr>
          <w:b/>
          <w:sz w:val="28"/>
        </w:rPr>
        <w:t xml:space="preserve">📊 </w:t>
      </w:r>
      <w:r>
        <w:rPr>
          <w:b/>
          <w:sz w:val="28"/>
        </w:rPr>
        <w:t>Annex A – Financial Tables</w:t>
      </w:r>
    </w:p>
    <w:p>
      <w:pPr>
        <w:pStyle w:val="Normal"/>
        <w:rPr/>
      </w:pPr>
      <w:r>
        <w:rPr/>
        <w:t>Methodology: Modelled estimates based on Terra Vita’s pre</w:t>
        <w:noBreakHyphen/>
        <w:t>launch assumptions and pilot targets. Forward</w:t>
        <w:noBreakHyphen/>
        <w:t>looking only, not measured.</w:t>
      </w:r>
    </w:p>
    <w:p>
      <w:pPr>
        <w:pStyle w:val="Normal"/>
        <w:rPr/>
      </w:pPr>
      <w:r>
        <w:rPr/>
        <w:t>5</w:t>
        <w:noBreakHyphen/>
        <w:t>Year Financial Projections</w:t>
      </w:r>
    </w:p>
    <w:tbl>
      <w:tblPr>
        <w:tblStyle w:val="TableGrid"/>
        <w:tblW w:w="8640" w:type="dxa"/>
        <w:jc w:val="left"/>
        <w:tblInd w:w="0" w:type="dxa"/>
        <w:tblLayout w:type="fixed"/>
        <w:tblCellMar>
          <w:top w:w="0" w:type="dxa"/>
          <w:left w:w="108" w:type="dxa"/>
          <w:bottom w:w="0" w:type="dxa"/>
          <w:right w:w="108" w:type="dxa"/>
        </w:tblCellMar>
        <w:tblLook w:firstRow="1" w:noVBand="1" w:lastRow="0" w:firstColumn="1" w:lastColumn="0" w:noHBand="0" w:val="04a0"/>
      </w:tblPr>
      <w:tblGrid>
        <w:gridCol w:w="1728"/>
        <w:gridCol w:w="1728"/>
        <w:gridCol w:w="1728"/>
        <w:gridCol w:w="1728"/>
        <w:gridCol w:w="1728"/>
      </w:tblGrid>
      <w:tr>
        <w:trPr/>
        <w:tc>
          <w:tcPr>
            <w:tcW w:w="1728" w:type="dxa"/>
            <w:tcBorders/>
          </w:tcPr>
          <w:p>
            <w:pPr>
              <w:pStyle w:val="Normal"/>
              <w:widowControl/>
              <w:spacing w:lineRule="auto" w:line="240" w:before="0" w:after="0"/>
              <w:jc w:val="left"/>
              <w:rPr>
                <w:rFonts w:ascii="Cambria" w:hAnsi="Cambria" w:eastAsia="ＭＳ 明朝" w:cs=""/>
                <w:kern w:val="0"/>
                <w:sz w:val="22"/>
                <w:szCs w:val="22"/>
                <w:lang w:val="en-US" w:eastAsia="en-US" w:bidi="ar-SA"/>
              </w:rPr>
            </w:pPr>
            <w:r>
              <w:rPr>
                <w:rFonts w:eastAsia="ＭＳ 明朝" w:cs=""/>
                <w:kern w:val="0"/>
                <w:sz w:val="22"/>
                <w:szCs w:val="22"/>
                <w:lang w:val="en-US" w:eastAsia="en-US" w:bidi="ar-SA"/>
              </w:rPr>
              <w:t>Year</w:t>
            </w:r>
          </w:p>
        </w:tc>
        <w:tc>
          <w:tcPr>
            <w:tcW w:w="1728" w:type="dxa"/>
            <w:tcBorders/>
          </w:tcPr>
          <w:p>
            <w:pPr>
              <w:pStyle w:val="Normal"/>
              <w:widowControl/>
              <w:spacing w:lineRule="auto" w:line="240" w:before="0" w:after="0"/>
              <w:jc w:val="left"/>
              <w:rPr>
                <w:rFonts w:ascii="Cambria" w:hAnsi="Cambria" w:eastAsia="ＭＳ 明朝" w:cs=""/>
                <w:kern w:val="0"/>
                <w:sz w:val="22"/>
                <w:szCs w:val="22"/>
                <w:lang w:val="en-US" w:eastAsia="en-US" w:bidi="ar-SA"/>
              </w:rPr>
            </w:pPr>
            <w:r>
              <w:rPr>
                <w:rFonts w:eastAsia="ＭＳ 明朝" w:cs=""/>
                <w:kern w:val="0"/>
                <w:sz w:val="22"/>
                <w:szCs w:val="22"/>
                <w:lang w:val="en-US" w:eastAsia="en-US" w:bidi="ar-SA"/>
              </w:rPr>
              <w:t>Revenue (€)</w:t>
            </w:r>
          </w:p>
        </w:tc>
        <w:tc>
          <w:tcPr>
            <w:tcW w:w="1728" w:type="dxa"/>
            <w:tcBorders/>
          </w:tcPr>
          <w:p>
            <w:pPr>
              <w:pStyle w:val="Normal"/>
              <w:widowControl/>
              <w:spacing w:lineRule="auto" w:line="240" w:before="0" w:after="0"/>
              <w:jc w:val="left"/>
              <w:rPr>
                <w:rFonts w:ascii="Cambria" w:hAnsi="Cambria" w:eastAsia="ＭＳ 明朝" w:cs=""/>
                <w:kern w:val="0"/>
                <w:sz w:val="22"/>
                <w:szCs w:val="22"/>
                <w:lang w:val="en-US" w:eastAsia="en-US" w:bidi="ar-SA"/>
              </w:rPr>
            </w:pPr>
            <w:r>
              <w:rPr>
                <w:rFonts w:eastAsia="ＭＳ 明朝" w:cs=""/>
                <w:kern w:val="0"/>
                <w:sz w:val="22"/>
                <w:szCs w:val="22"/>
                <w:lang w:val="en-US" w:eastAsia="en-US" w:bidi="ar-SA"/>
              </w:rPr>
              <w:t>EBITDA (€)</w:t>
            </w:r>
          </w:p>
        </w:tc>
        <w:tc>
          <w:tcPr>
            <w:tcW w:w="1728" w:type="dxa"/>
            <w:tcBorders/>
          </w:tcPr>
          <w:p>
            <w:pPr>
              <w:pStyle w:val="Normal"/>
              <w:widowControl/>
              <w:spacing w:lineRule="auto" w:line="240" w:before="0" w:after="0"/>
              <w:jc w:val="left"/>
              <w:rPr>
                <w:rFonts w:ascii="Cambria" w:hAnsi="Cambria" w:eastAsia="ＭＳ 明朝" w:cs=""/>
                <w:kern w:val="0"/>
                <w:sz w:val="22"/>
                <w:szCs w:val="22"/>
                <w:lang w:val="en-US" w:eastAsia="en-US" w:bidi="ar-SA"/>
              </w:rPr>
            </w:pPr>
            <w:r>
              <w:rPr>
                <w:rFonts w:eastAsia="ＭＳ 明朝" w:cs=""/>
                <w:kern w:val="0"/>
                <w:sz w:val="22"/>
                <w:szCs w:val="22"/>
                <w:lang w:val="en-US" w:eastAsia="en-US" w:bidi="ar-SA"/>
              </w:rPr>
              <w:t>Net Cash Flow (€)</w:t>
            </w:r>
          </w:p>
        </w:tc>
        <w:tc>
          <w:tcPr>
            <w:tcW w:w="1728" w:type="dxa"/>
            <w:tcBorders/>
          </w:tcPr>
          <w:p>
            <w:pPr>
              <w:pStyle w:val="Normal"/>
              <w:widowControl/>
              <w:spacing w:lineRule="auto" w:line="240" w:before="0" w:after="0"/>
              <w:jc w:val="left"/>
              <w:rPr>
                <w:rFonts w:ascii="Cambria" w:hAnsi="Cambria" w:eastAsia="ＭＳ 明朝" w:cs=""/>
                <w:kern w:val="0"/>
                <w:sz w:val="22"/>
                <w:szCs w:val="22"/>
                <w:lang w:val="en-US" w:eastAsia="en-US" w:bidi="ar-SA"/>
              </w:rPr>
            </w:pPr>
            <w:r>
              <w:rPr>
                <w:rFonts w:eastAsia="ＭＳ 明朝" w:cs=""/>
                <w:kern w:val="0"/>
                <w:sz w:val="22"/>
                <w:szCs w:val="22"/>
                <w:lang w:val="en-US" w:eastAsia="en-US" w:bidi="ar-SA"/>
              </w:rPr>
              <w:t>DSCR (×)</w:t>
            </w:r>
          </w:p>
        </w:tc>
      </w:tr>
      <w:tr>
        <w:trPr/>
        <w:tc>
          <w:tcPr>
            <w:tcW w:w="1728" w:type="dxa"/>
            <w:tcBorders/>
          </w:tcPr>
          <w:p>
            <w:pPr>
              <w:pStyle w:val="Normal"/>
              <w:widowControl/>
              <w:spacing w:lineRule="auto" w:line="240" w:before="0" w:after="0"/>
              <w:jc w:val="left"/>
              <w:rPr>
                <w:rFonts w:ascii="Cambria" w:hAnsi="Cambria" w:eastAsia="ＭＳ 明朝" w:cs=""/>
                <w:kern w:val="0"/>
                <w:sz w:val="22"/>
                <w:szCs w:val="22"/>
                <w:lang w:val="en-US" w:eastAsia="en-US" w:bidi="ar-SA"/>
              </w:rPr>
            </w:pPr>
            <w:r>
              <w:rPr>
                <w:rFonts w:eastAsia="ＭＳ 明朝" w:cs=""/>
                <w:kern w:val="0"/>
                <w:sz w:val="22"/>
                <w:szCs w:val="22"/>
                <w:lang w:val="en-US" w:eastAsia="en-US" w:bidi="ar-SA"/>
              </w:rPr>
              <w:t>Y1</w:t>
            </w:r>
          </w:p>
        </w:tc>
        <w:tc>
          <w:tcPr>
            <w:tcW w:w="1728" w:type="dxa"/>
            <w:tcBorders/>
          </w:tcPr>
          <w:p>
            <w:pPr>
              <w:pStyle w:val="Normal"/>
              <w:widowControl/>
              <w:spacing w:lineRule="auto" w:line="240" w:before="0" w:after="0"/>
              <w:jc w:val="left"/>
              <w:rPr>
                <w:rFonts w:ascii="Cambria" w:hAnsi="Cambria" w:eastAsia="ＭＳ 明朝" w:cs=""/>
                <w:kern w:val="0"/>
                <w:sz w:val="22"/>
                <w:szCs w:val="22"/>
                <w:lang w:val="en-US" w:eastAsia="en-US" w:bidi="ar-SA"/>
              </w:rPr>
            </w:pPr>
            <w:r>
              <w:rPr>
                <w:rFonts w:eastAsia="ＭＳ 明朝" w:cs=""/>
                <w:kern w:val="0"/>
                <w:sz w:val="22"/>
                <w:szCs w:val="22"/>
                <w:lang w:val="en-US" w:eastAsia="en-US" w:bidi="ar-SA"/>
              </w:rPr>
              <w:t>120,000</w:t>
            </w:r>
          </w:p>
        </w:tc>
        <w:tc>
          <w:tcPr>
            <w:tcW w:w="1728" w:type="dxa"/>
            <w:tcBorders/>
          </w:tcPr>
          <w:p>
            <w:pPr>
              <w:pStyle w:val="Normal"/>
              <w:widowControl/>
              <w:spacing w:lineRule="auto" w:line="240" w:before="0" w:after="0"/>
              <w:jc w:val="left"/>
              <w:rPr>
                <w:rFonts w:ascii="Cambria" w:hAnsi="Cambria" w:eastAsia="ＭＳ 明朝" w:cs=""/>
                <w:kern w:val="0"/>
                <w:sz w:val="22"/>
                <w:szCs w:val="22"/>
                <w:lang w:val="en-US" w:eastAsia="en-US" w:bidi="ar-SA"/>
              </w:rPr>
            </w:pPr>
            <w:r>
              <w:rPr>
                <w:rFonts w:eastAsia="ＭＳ 明朝" w:cs=""/>
                <w:kern w:val="0"/>
                <w:sz w:val="22"/>
                <w:szCs w:val="22"/>
                <w:lang w:val="en-US" w:eastAsia="en-US" w:bidi="ar-SA"/>
              </w:rPr>
              <w:t>30,000</w:t>
            </w:r>
          </w:p>
        </w:tc>
        <w:tc>
          <w:tcPr>
            <w:tcW w:w="1728" w:type="dxa"/>
            <w:tcBorders/>
          </w:tcPr>
          <w:p>
            <w:pPr>
              <w:pStyle w:val="Normal"/>
              <w:widowControl/>
              <w:spacing w:lineRule="auto" w:line="240" w:before="0" w:after="0"/>
              <w:jc w:val="left"/>
              <w:rPr>
                <w:rFonts w:ascii="Cambria" w:hAnsi="Cambria" w:eastAsia="ＭＳ 明朝" w:cs=""/>
                <w:kern w:val="0"/>
                <w:sz w:val="22"/>
                <w:szCs w:val="22"/>
                <w:lang w:val="en-US" w:eastAsia="en-US" w:bidi="ar-SA"/>
              </w:rPr>
            </w:pPr>
            <w:r>
              <w:rPr>
                <w:rFonts w:eastAsia="ＭＳ 明朝" w:cs=""/>
                <w:kern w:val="0"/>
                <w:sz w:val="22"/>
                <w:szCs w:val="22"/>
                <w:lang w:val="en-US" w:eastAsia="en-US" w:bidi="ar-SA"/>
              </w:rPr>
              <w:t>20,000</w:t>
            </w:r>
          </w:p>
        </w:tc>
        <w:tc>
          <w:tcPr>
            <w:tcW w:w="1728" w:type="dxa"/>
            <w:tcBorders/>
          </w:tcPr>
          <w:p>
            <w:pPr>
              <w:pStyle w:val="Normal"/>
              <w:widowControl/>
              <w:spacing w:lineRule="auto" w:line="240" w:before="0" w:after="0"/>
              <w:jc w:val="left"/>
              <w:rPr>
                <w:rFonts w:ascii="Cambria" w:hAnsi="Cambria" w:eastAsia="ＭＳ 明朝" w:cs=""/>
                <w:kern w:val="0"/>
                <w:sz w:val="22"/>
                <w:szCs w:val="22"/>
                <w:lang w:val="en-US" w:eastAsia="en-US" w:bidi="ar-SA"/>
              </w:rPr>
            </w:pPr>
            <w:r>
              <w:rPr>
                <w:rFonts w:eastAsia="ＭＳ 明朝" w:cs=""/>
                <w:kern w:val="0"/>
                <w:sz w:val="22"/>
                <w:szCs w:val="22"/>
                <w:lang w:val="en-US" w:eastAsia="en-US" w:bidi="ar-SA"/>
              </w:rPr>
              <w:t>1.1×</w:t>
            </w:r>
          </w:p>
        </w:tc>
      </w:tr>
      <w:tr>
        <w:trPr/>
        <w:tc>
          <w:tcPr>
            <w:tcW w:w="1728" w:type="dxa"/>
            <w:tcBorders/>
          </w:tcPr>
          <w:p>
            <w:pPr>
              <w:pStyle w:val="Normal"/>
              <w:widowControl/>
              <w:spacing w:lineRule="auto" w:line="240" w:before="0" w:after="0"/>
              <w:jc w:val="left"/>
              <w:rPr>
                <w:rFonts w:ascii="Cambria" w:hAnsi="Cambria" w:eastAsia="ＭＳ 明朝" w:cs=""/>
                <w:kern w:val="0"/>
                <w:sz w:val="22"/>
                <w:szCs w:val="22"/>
                <w:lang w:val="en-US" w:eastAsia="en-US" w:bidi="ar-SA"/>
              </w:rPr>
            </w:pPr>
            <w:r>
              <w:rPr>
                <w:rFonts w:eastAsia="ＭＳ 明朝" w:cs=""/>
                <w:kern w:val="0"/>
                <w:sz w:val="22"/>
                <w:szCs w:val="22"/>
                <w:lang w:val="en-US" w:eastAsia="en-US" w:bidi="ar-SA"/>
              </w:rPr>
              <w:t>Y2</w:t>
            </w:r>
          </w:p>
        </w:tc>
        <w:tc>
          <w:tcPr>
            <w:tcW w:w="1728" w:type="dxa"/>
            <w:tcBorders/>
          </w:tcPr>
          <w:p>
            <w:pPr>
              <w:pStyle w:val="Normal"/>
              <w:widowControl/>
              <w:spacing w:lineRule="auto" w:line="240" w:before="0" w:after="0"/>
              <w:jc w:val="left"/>
              <w:rPr>
                <w:rFonts w:ascii="Cambria" w:hAnsi="Cambria" w:eastAsia="ＭＳ 明朝" w:cs=""/>
                <w:kern w:val="0"/>
                <w:sz w:val="22"/>
                <w:szCs w:val="22"/>
                <w:lang w:val="en-US" w:eastAsia="en-US" w:bidi="ar-SA"/>
              </w:rPr>
            </w:pPr>
            <w:r>
              <w:rPr>
                <w:rFonts w:eastAsia="ＭＳ 明朝" w:cs=""/>
                <w:kern w:val="0"/>
                <w:sz w:val="22"/>
                <w:szCs w:val="22"/>
                <w:lang w:val="en-US" w:eastAsia="en-US" w:bidi="ar-SA"/>
              </w:rPr>
              <w:t>220,000</w:t>
            </w:r>
          </w:p>
        </w:tc>
        <w:tc>
          <w:tcPr>
            <w:tcW w:w="1728" w:type="dxa"/>
            <w:tcBorders/>
          </w:tcPr>
          <w:p>
            <w:pPr>
              <w:pStyle w:val="Normal"/>
              <w:widowControl/>
              <w:spacing w:lineRule="auto" w:line="240" w:before="0" w:after="0"/>
              <w:jc w:val="left"/>
              <w:rPr>
                <w:rFonts w:ascii="Cambria" w:hAnsi="Cambria" w:eastAsia="ＭＳ 明朝" w:cs=""/>
                <w:kern w:val="0"/>
                <w:sz w:val="22"/>
                <w:szCs w:val="22"/>
                <w:lang w:val="en-US" w:eastAsia="en-US" w:bidi="ar-SA"/>
              </w:rPr>
            </w:pPr>
            <w:r>
              <w:rPr>
                <w:rFonts w:eastAsia="ＭＳ 明朝" w:cs=""/>
                <w:kern w:val="0"/>
                <w:sz w:val="22"/>
                <w:szCs w:val="22"/>
                <w:lang w:val="en-US" w:eastAsia="en-US" w:bidi="ar-SA"/>
              </w:rPr>
              <w:t>80,000</w:t>
            </w:r>
          </w:p>
        </w:tc>
        <w:tc>
          <w:tcPr>
            <w:tcW w:w="1728" w:type="dxa"/>
            <w:tcBorders/>
          </w:tcPr>
          <w:p>
            <w:pPr>
              <w:pStyle w:val="Normal"/>
              <w:widowControl/>
              <w:spacing w:lineRule="auto" w:line="240" w:before="0" w:after="0"/>
              <w:jc w:val="left"/>
              <w:rPr>
                <w:rFonts w:ascii="Cambria" w:hAnsi="Cambria" w:eastAsia="ＭＳ 明朝" w:cs=""/>
                <w:kern w:val="0"/>
                <w:sz w:val="22"/>
                <w:szCs w:val="22"/>
                <w:lang w:val="en-US" w:eastAsia="en-US" w:bidi="ar-SA"/>
              </w:rPr>
            </w:pPr>
            <w:r>
              <w:rPr>
                <w:rFonts w:eastAsia="ＭＳ 明朝" w:cs=""/>
                <w:kern w:val="0"/>
                <w:sz w:val="22"/>
                <w:szCs w:val="22"/>
                <w:lang w:val="en-US" w:eastAsia="en-US" w:bidi="ar-SA"/>
              </w:rPr>
              <w:t>70,000</w:t>
            </w:r>
          </w:p>
        </w:tc>
        <w:tc>
          <w:tcPr>
            <w:tcW w:w="1728" w:type="dxa"/>
            <w:tcBorders/>
          </w:tcPr>
          <w:p>
            <w:pPr>
              <w:pStyle w:val="Normal"/>
              <w:widowControl/>
              <w:spacing w:lineRule="auto" w:line="240" w:before="0" w:after="0"/>
              <w:jc w:val="left"/>
              <w:rPr>
                <w:rFonts w:ascii="Cambria" w:hAnsi="Cambria" w:eastAsia="ＭＳ 明朝" w:cs=""/>
                <w:kern w:val="0"/>
                <w:sz w:val="22"/>
                <w:szCs w:val="22"/>
                <w:lang w:val="en-US" w:eastAsia="en-US" w:bidi="ar-SA"/>
              </w:rPr>
            </w:pPr>
            <w:r>
              <w:rPr>
                <w:rFonts w:eastAsia="ＭＳ 明朝" w:cs=""/>
                <w:kern w:val="0"/>
                <w:sz w:val="22"/>
                <w:szCs w:val="22"/>
                <w:lang w:val="en-US" w:eastAsia="en-US" w:bidi="ar-SA"/>
              </w:rPr>
              <w:t>1.2×</w:t>
            </w:r>
          </w:p>
        </w:tc>
      </w:tr>
      <w:tr>
        <w:trPr/>
        <w:tc>
          <w:tcPr>
            <w:tcW w:w="1728" w:type="dxa"/>
            <w:tcBorders/>
          </w:tcPr>
          <w:p>
            <w:pPr>
              <w:pStyle w:val="Normal"/>
              <w:widowControl/>
              <w:spacing w:lineRule="auto" w:line="240" w:before="0" w:after="0"/>
              <w:jc w:val="left"/>
              <w:rPr>
                <w:rFonts w:ascii="Cambria" w:hAnsi="Cambria" w:eastAsia="ＭＳ 明朝" w:cs=""/>
                <w:kern w:val="0"/>
                <w:sz w:val="22"/>
                <w:szCs w:val="22"/>
                <w:lang w:val="en-US" w:eastAsia="en-US" w:bidi="ar-SA"/>
              </w:rPr>
            </w:pPr>
            <w:r>
              <w:rPr>
                <w:rFonts w:eastAsia="ＭＳ 明朝" w:cs=""/>
                <w:kern w:val="0"/>
                <w:sz w:val="22"/>
                <w:szCs w:val="22"/>
                <w:lang w:val="en-US" w:eastAsia="en-US" w:bidi="ar-SA"/>
              </w:rPr>
              <w:t>Y3</w:t>
            </w:r>
          </w:p>
        </w:tc>
        <w:tc>
          <w:tcPr>
            <w:tcW w:w="1728" w:type="dxa"/>
            <w:tcBorders/>
          </w:tcPr>
          <w:p>
            <w:pPr>
              <w:pStyle w:val="Normal"/>
              <w:widowControl/>
              <w:spacing w:lineRule="auto" w:line="240" w:before="0" w:after="0"/>
              <w:jc w:val="left"/>
              <w:rPr>
                <w:rFonts w:ascii="Cambria" w:hAnsi="Cambria" w:eastAsia="ＭＳ 明朝" w:cs=""/>
                <w:kern w:val="0"/>
                <w:sz w:val="22"/>
                <w:szCs w:val="22"/>
                <w:lang w:val="en-US" w:eastAsia="en-US" w:bidi="ar-SA"/>
              </w:rPr>
            </w:pPr>
            <w:r>
              <w:rPr>
                <w:rFonts w:eastAsia="ＭＳ 明朝" w:cs=""/>
                <w:kern w:val="0"/>
                <w:sz w:val="22"/>
                <w:szCs w:val="22"/>
                <w:lang w:val="en-US" w:eastAsia="en-US" w:bidi="ar-SA"/>
              </w:rPr>
              <w:t>350,000</w:t>
            </w:r>
          </w:p>
        </w:tc>
        <w:tc>
          <w:tcPr>
            <w:tcW w:w="1728" w:type="dxa"/>
            <w:tcBorders/>
          </w:tcPr>
          <w:p>
            <w:pPr>
              <w:pStyle w:val="Normal"/>
              <w:widowControl/>
              <w:spacing w:lineRule="auto" w:line="240" w:before="0" w:after="0"/>
              <w:jc w:val="left"/>
              <w:rPr>
                <w:rFonts w:ascii="Cambria" w:hAnsi="Cambria" w:eastAsia="ＭＳ 明朝" w:cs=""/>
                <w:kern w:val="0"/>
                <w:sz w:val="22"/>
                <w:szCs w:val="22"/>
                <w:lang w:val="en-US" w:eastAsia="en-US" w:bidi="ar-SA"/>
              </w:rPr>
            </w:pPr>
            <w:r>
              <w:rPr>
                <w:rFonts w:eastAsia="ＭＳ 明朝" w:cs=""/>
                <w:kern w:val="0"/>
                <w:sz w:val="22"/>
                <w:szCs w:val="22"/>
                <w:lang w:val="en-US" w:eastAsia="en-US" w:bidi="ar-SA"/>
              </w:rPr>
              <w:t>150,000</w:t>
            </w:r>
          </w:p>
        </w:tc>
        <w:tc>
          <w:tcPr>
            <w:tcW w:w="1728" w:type="dxa"/>
            <w:tcBorders/>
          </w:tcPr>
          <w:p>
            <w:pPr>
              <w:pStyle w:val="Normal"/>
              <w:widowControl/>
              <w:spacing w:lineRule="auto" w:line="240" w:before="0" w:after="0"/>
              <w:jc w:val="left"/>
              <w:rPr>
                <w:rFonts w:ascii="Cambria" w:hAnsi="Cambria" w:eastAsia="ＭＳ 明朝" w:cs=""/>
                <w:kern w:val="0"/>
                <w:sz w:val="22"/>
                <w:szCs w:val="22"/>
                <w:lang w:val="en-US" w:eastAsia="en-US" w:bidi="ar-SA"/>
              </w:rPr>
            </w:pPr>
            <w:r>
              <w:rPr>
                <w:rFonts w:eastAsia="ＭＳ 明朝" w:cs=""/>
                <w:kern w:val="0"/>
                <w:sz w:val="22"/>
                <w:szCs w:val="22"/>
                <w:lang w:val="en-US" w:eastAsia="en-US" w:bidi="ar-SA"/>
              </w:rPr>
              <w:t>140,000</w:t>
            </w:r>
          </w:p>
        </w:tc>
        <w:tc>
          <w:tcPr>
            <w:tcW w:w="1728" w:type="dxa"/>
            <w:tcBorders/>
          </w:tcPr>
          <w:p>
            <w:pPr>
              <w:pStyle w:val="Normal"/>
              <w:widowControl/>
              <w:spacing w:lineRule="auto" w:line="240" w:before="0" w:after="0"/>
              <w:jc w:val="left"/>
              <w:rPr>
                <w:rFonts w:ascii="Cambria" w:hAnsi="Cambria" w:eastAsia="ＭＳ 明朝" w:cs=""/>
                <w:kern w:val="0"/>
                <w:sz w:val="22"/>
                <w:szCs w:val="22"/>
                <w:lang w:val="en-US" w:eastAsia="en-US" w:bidi="ar-SA"/>
              </w:rPr>
            </w:pPr>
            <w:r>
              <w:rPr>
                <w:rFonts w:eastAsia="ＭＳ 明朝" w:cs=""/>
                <w:kern w:val="0"/>
                <w:sz w:val="22"/>
                <w:szCs w:val="22"/>
                <w:lang w:val="en-US" w:eastAsia="en-US" w:bidi="ar-SA"/>
              </w:rPr>
              <w:t>1.3×</w:t>
            </w:r>
          </w:p>
        </w:tc>
      </w:tr>
      <w:tr>
        <w:trPr/>
        <w:tc>
          <w:tcPr>
            <w:tcW w:w="1728" w:type="dxa"/>
            <w:tcBorders/>
          </w:tcPr>
          <w:p>
            <w:pPr>
              <w:pStyle w:val="Normal"/>
              <w:widowControl/>
              <w:spacing w:lineRule="auto" w:line="240" w:before="0" w:after="0"/>
              <w:jc w:val="left"/>
              <w:rPr>
                <w:rFonts w:ascii="Cambria" w:hAnsi="Cambria" w:eastAsia="ＭＳ 明朝" w:cs=""/>
                <w:kern w:val="0"/>
                <w:sz w:val="22"/>
                <w:szCs w:val="22"/>
                <w:lang w:val="en-US" w:eastAsia="en-US" w:bidi="ar-SA"/>
              </w:rPr>
            </w:pPr>
            <w:r>
              <w:rPr>
                <w:rFonts w:eastAsia="ＭＳ 明朝" w:cs=""/>
                <w:kern w:val="0"/>
                <w:sz w:val="22"/>
                <w:szCs w:val="22"/>
                <w:lang w:val="en-US" w:eastAsia="en-US" w:bidi="ar-SA"/>
              </w:rPr>
              <w:t>Y4</w:t>
            </w:r>
          </w:p>
        </w:tc>
        <w:tc>
          <w:tcPr>
            <w:tcW w:w="1728" w:type="dxa"/>
            <w:tcBorders/>
          </w:tcPr>
          <w:p>
            <w:pPr>
              <w:pStyle w:val="Normal"/>
              <w:widowControl/>
              <w:spacing w:lineRule="auto" w:line="240" w:before="0" w:after="0"/>
              <w:jc w:val="left"/>
              <w:rPr>
                <w:rFonts w:ascii="Cambria" w:hAnsi="Cambria" w:eastAsia="ＭＳ 明朝" w:cs=""/>
                <w:kern w:val="0"/>
                <w:sz w:val="22"/>
                <w:szCs w:val="22"/>
                <w:lang w:val="en-US" w:eastAsia="en-US" w:bidi="ar-SA"/>
              </w:rPr>
            </w:pPr>
            <w:r>
              <w:rPr>
                <w:rFonts w:eastAsia="ＭＳ 明朝" w:cs=""/>
                <w:kern w:val="0"/>
                <w:sz w:val="22"/>
                <w:szCs w:val="22"/>
                <w:lang w:val="en-US" w:eastAsia="en-US" w:bidi="ar-SA"/>
              </w:rPr>
              <w:t>450,000</w:t>
            </w:r>
          </w:p>
        </w:tc>
        <w:tc>
          <w:tcPr>
            <w:tcW w:w="1728" w:type="dxa"/>
            <w:tcBorders/>
          </w:tcPr>
          <w:p>
            <w:pPr>
              <w:pStyle w:val="Normal"/>
              <w:widowControl/>
              <w:spacing w:lineRule="auto" w:line="240" w:before="0" w:after="0"/>
              <w:jc w:val="left"/>
              <w:rPr>
                <w:rFonts w:ascii="Cambria" w:hAnsi="Cambria" w:eastAsia="ＭＳ 明朝" w:cs=""/>
                <w:kern w:val="0"/>
                <w:sz w:val="22"/>
                <w:szCs w:val="22"/>
                <w:lang w:val="en-US" w:eastAsia="en-US" w:bidi="ar-SA"/>
              </w:rPr>
            </w:pPr>
            <w:r>
              <w:rPr>
                <w:rFonts w:eastAsia="ＭＳ 明朝" w:cs=""/>
                <w:kern w:val="0"/>
                <w:sz w:val="22"/>
                <w:szCs w:val="22"/>
                <w:lang w:val="en-US" w:eastAsia="en-US" w:bidi="ar-SA"/>
              </w:rPr>
              <w:t>200,000</w:t>
            </w:r>
          </w:p>
        </w:tc>
        <w:tc>
          <w:tcPr>
            <w:tcW w:w="1728" w:type="dxa"/>
            <w:tcBorders/>
          </w:tcPr>
          <w:p>
            <w:pPr>
              <w:pStyle w:val="Normal"/>
              <w:widowControl/>
              <w:spacing w:lineRule="auto" w:line="240" w:before="0" w:after="0"/>
              <w:jc w:val="left"/>
              <w:rPr>
                <w:rFonts w:ascii="Cambria" w:hAnsi="Cambria" w:eastAsia="ＭＳ 明朝" w:cs=""/>
                <w:kern w:val="0"/>
                <w:sz w:val="22"/>
                <w:szCs w:val="22"/>
                <w:lang w:val="en-US" w:eastAsia="en-US" w:bidi="ar-SA"/>
              </w:rPr>
            </w:pPr>
            <w:r>
              <w:rPr>
                <w:rFonts w:eastAsia="ＭＳ 明朝" w:cs=""/>
                <w:kern w:val="0"/>
                <w:sz w:val="22"/>
                <w:szCs w:val="22"/>
                <w:lang w:val="en-US" w:eastAsia="en-US" w:bidi="ar-SA"/>
              </w:rPr>
              <w:t>180,000</w:t>
            </w:r>
          </w:p>
        </w:tc>
        <w:tc>
          <w:tcPr>
            <w:tcW w:w="1728" w:type="dxa"/>
            <w:tcBorders/>
          </w:tcPr>
          <w:p>
            <w:pPr>
              <w:pStyle w:val="Normal"/>
              <w:widowControl/>
              <w:spacing w:lineRule="auto" w:line="240" w:before="0" w:after="0"/>
              <w:jc w:val="left"/>
              <w:rPr>
                <w:rFonts w:ascii="Cambria" w:hAnsi="Cambria" w:eastAsia="ＭＳ 明朝" w:cs=""/>
                <w:kern w:val="0"/>
                <w:sz w:val="22"/>
                <w:szCs w:val="22"/>
                <w:lang w:val="en-US" w:eastAsia="en-US" w:bidi="ar-SA"/>
              </w:rPr>
            </w:pPr>
            <w:r>
              <w:rPr>
                <w:rFonts w:eastAsia="ＭＳ 明朝" w:cs=""/>
                <w:kern w:val="0"/>
                <w:sz w:val="22"/>
                <w:szCs w:val="22"/>
                <w:lang w:val="en-US" w:eastAsia="en-US" w:bidi="ar-SA"/>
              </w:rPr>
              <w:t>1.4×</w:t>
            </w:r>
          </w:p>
        </w:tc>
      </w:tr>
      <w:tr>
        <w:trPr/>
        <w:tc>
          <w:tcPr>
            <w:tcW w:w="1728" w:type="dxa"/>
            <w:tcBorders/>
          </w:tcPr>
          <w:p>
            <w:pPr>
              <w:pStyle w:val="Normal"/>
              <w:widowControl/>
              <w:spacing w:lineRule="auto" w:line="240" w:before="0" w:after="0"/>
              <w:jc w:val="left"/>
              <w:rPr>
                <w:rFonts w:ascii="Cambria" w:hAnsi="Cambria" w:eastAsia="ＭＳ 明朝" w:cs=""/>
                <w:kern w:val="0"/>
                <w:sz w:val="22"/>
                <w:szCs w:val="22"/>
                <w:lang w:val="en-US" w:eastAsia="en-US" w:bidi="ar-SA"/>
              </w:rPr>
            </w:pPr>
            <w:r>
              <w:rPr>
                <w:rFonts w:eastAsia="ＭＳ 明朝" w:cs=""/>
                <w:kern w:val="0"/>
                <w:sz w:val="22"/>
                <w:szCs w:val="22"/>
                <w:lang w:val="en-US" w:eastAsia="en-US" w:bidi="ar-SA"/>
              </w:rPr>
              <w:t>Y5</w:t>
            </w:r>
          </w:p>
        </w:tc>
        <w:tc>
          <w:tcPr>
            <w:tcW w:w="1728" w:type="dxa"/>
            <w:tcBorders/>
          </w:tcPr>
          <w:p>
            <w:pPr>
              <w:pStyle w:val="Normal"/>
              <w:widowControl/>
              <w:spacing w:lineRule="auto" w:line="240" w:before="0" w:after="0"/>
              <w:jc w:val="left"/>
              <w:rPr>
                <w:rFonts w:ascii="Cambria" w:hAnsi="Cambria" w:eastAsia="ＭＳ 明朝" w:cs=""/>
                <w:kern w:val="0"/>
                <w:sz w:val="22"/>
                <w:szCs w:val="22"/>
                <w:lang w:val="en-US" w:eastAsia="en-US" w:bidi="ar-SA"/>
              </w:rPr>
            </w:pPr>
            <w:r>
              <w:rPr>
                <w:rFonts w:eastAsia="ＭＳ 明朝" w:cs=""/>
                <w:kern w:val="0"/>
                <w:sz w:val="22"/>
                <w:szCs w:val="22"/>
                <w:lang w:val="en-US" w:eastAsia="en-US" w:bidi="ar-SA"/>
              </w:rPr>
              <w:t>600,000</w:t>
            </w:r>
          </w:p>
        </w:tc>
        <w:tc>
          <w:tcPr>
            <w:tcW w:w="1728" w:type="dxa"/>
            <w:tcBorders/>
          </w:tcPr>
          <w:p>
            <w:pPr>
              <w:pStyle w:val="Normal"/>
              <w:widowControl/>
              <w:spacing w:lineRule="auto" w:line="240" w:before="0" w:after="0"/>
              <w:jc w:val="left"/>
              <w:rPr>
                <w:rFonts w:ascii="Cambria" w:hAnsi="Cambria" w:eastAsia="ＭＳ 明朝" w:cs=""/>
                <w:kern w:val="0"/>
                <w:sz w:val="22"/>
                <w:szCs w:val="22"/>
                <w:lang w:val="en-US" w:eastAsia="en-US" w:bidi="ar-SA"/>
              </w:rPr>
            </w:pPr>
            <w:r>
              <w:rPr>
                <w:rFonts w:eastAsia="ＭＳ 明朝" w:cs=""/>
                <w:kern w:val="0"/>
                <w:sz w:val="22"/>
                <w:szCs w:val="22"/>
                <w:lang w:val="en-US" w:eastAsia="en-US" w:bidi="ar-SA"/>
              </w:rPr>
              <w:t>280,000</w:t>
            </w:r>
          </w:p>
        </w:tc>
        <w:tc>
          <w:tcPr>
            <w:tcW w:w="1728" w:type="dxa"/>
            <w:tcBorders/>
          </w:tcPr>
          <w:p>
            <w:pPr>
              <w:pStyle w:val="Normal"/>
              <w:widowControl/>
              <w:spacing w:lineRule="auto" w:line="240" w:before="0" w:after="0"/>
              <w:jc w:val="left"/>
              <w:rPr>
                <w:rFonts w:ascii="Cambria" w:hAnsi="Cambria" w:eastAsia="ＭＳ 明朝" w:cs=""/>
                <w:kern w:val="0"/>
                <w:sz w:val="22"/>
                <w:szCs w:val="22"/>
                <w:lang w:val="en-US" w:eastAsia="en-US" w:bidi="ar-SA"/>
              </w:rPr>
            </w:pPr>
            <w:r>
              <w:rPr>
                <w:rFonts w:eastAsia="ＭＳ 明朝" w:cs=""/>
                <w:kern w:val="0"/>
                <w:sz w:val="22"/>
                <w:szCs w:val="22"/>
                <w:lang w:val="en-US" w:eastAsia="en-US" w:bidi="ar-SA"/>
              </w:rPr>
              <w:t>250,000</w:t>
            </w:r>
          </w:p>
        </w:tc>
        <w:tc>
          <w:tcPr>
            <w:tcW w:w="1728" w:type="dxa"/>
            <w:tcBorders/>
          </w:tcPr>
          <w:p>
            <w:pPr>
              <w:pStyle w:val="Normal"/>
              <w:widowControl/>
              <w:spacing w:lineRule="auto" w:line="240" w:before="0" w:after="0"/>
              <w:jc w:val="left"/>
              <w:rPr>
                <w:rFonts w:ascii="Cambria" w:hAnsi="Cambria" w:eastAsia="ＭＳ 明朝" w:cs=""/>
                <w:kern w:val="0"/>
                <w:sz w:val="22"/>
                <w:szCs w:val="22"/>
                <w:lang w:val="en-US" w:eastAsia="en-US" w:bidi="ar-SA"/>
              </w:rPr>
            </w:pPr>
            <w:r>
              <w:rPr>
                <w:rFonts w:eastAsia="ＭＳ 明朝" w:cs=""/>
                <w:kern w:val="0"/>
                <w:sz w:val="22"/>
                <w:szCs w:val="22"/>
                <w:lang w:val="en-US" w:eastAsia="en-US" w:bidi="ar-SA"/>
              </w:rPr>
              <w:t>1.5×</w:t>
            </w:r>
          </w:p>
        </w:tc>
      </w:tr>
    </w:tbl>
    <w:p>
      <w:pPr>
        <w:pStyle w:val="Normal"/>
        <w:rPr/>
      </w:pPr>
      <w:r>
        <w:rPr/>
        <w:t>Key View: Revenue scales 5× over five years, EBITDA margin strengthens, and DSCR improves steadily from 1.1× to 1.5×, signalling increasing debt service resilience.</w:t>
      </w:r>
    </w:p>
    <w:p>
      <w:pPr>
        <w:pStyle w:val="Normal"/>
        <w:rPr/>
      </w:pPr>
      <w:r>
        <w:rPr/>
        <w:t>ROI &amp; Payback Snapshot</w:t>
      </w:r>
    </w:p>
    <w:p>
      <w:pPr>
        <w:pStyle w:val="Normal"/>
        <w:rPr/>
      </w:pPr>
      <w:r>
        <w:rPr/>
        <w:t>Methodology: Derived from 5</w:t>
        <w:noBreakHyphen/>
        <w:t>year projections and base</w:t>
        <w:noBreakHyphen/>
        <w:t>case IRR modelling.</w:t>
      </w:r>
    </w:p>
    <w:tbl>
      <w:tblPr>
        <w:tblStyle w:val="TableGrid"/>
        <w:tblW w:w="8640" w:type="dxa"/>
        <w:jc w:val="left"/>
        <w:tblInd w:w="0" w:type="dxa"/>
        <w:tblLayout w:type="fixed"/>
        <w:tblCellMar>
          <w:top w:w="0" w:type="dxa"/>
          <w:left w:w="108" w:type="dxa"/>
          <w:bottom w:w="0" w:type="dxa"/>
          <w:right w:w="108" w:type="dxa"/>
        </w:tblCellMar>
        <w:tblLook w:firstRow="1" w:noVBand="1" w:lastRow="0" w:firstColumn="1" w:lastColumn="0" w:noHBand="0" w:val="04a0"/>
      </w:tblPr>
      <w:tblGrid>
        <w:gridCol w:w="4320"/>
        <w:gridCol w:w="4319"/>
      </w:tblGrid>
      <w:tr>
        <w:trPr/>
        <w:tc>
          <w:tcPr>
            <w:tcW w:w="4320" w:type="dxa"/>
            <w:tcBorders/>
          </w:tcPr>
          <w:p>
            <w:pPr>
              <w:pStyle w:val="Normal"/>
              <w:widowControl/>
              <w:spacing w:lineRule="auto" w:line="240" w:before="0" w:after="0"/>
              <w:jc w:val="left"/>
              <w:rPr>
                <w:rFonts w:ascii="Cambria" w:hAnsi="Cambria" w:eastAsia="ＭＳ 明朝" w:cs=""/>
                <w:kern w:val="0"/>
                <w:sz w:val="22"/>
                <w:szCs w:val="22"/>
                <w:lang w:val="en-US" w:eastAsia="en-US" w:bidi="ar-SA"/>
              </w:rPr>
            </w:pPr>
            <w:r>
              <w:rPr>
                <w:rFonts w:eastAsia="ＭＳ 明朝" w:cs=""/>
                <w:kern w:val="0"/>
                <w:sz w:val="22"/>
                <w:szCs w:val="22"/>
                <w:lang w:val="en-US" w:eastAsia="en-US" w:bidi="ar-SA"/>
              </w:rPr>
              <w:t>Metric</w:t>
            </w:r>
          </w:p>
        </w:tc>
        <w:tc>
          <w:tcPr>
            <w:tcW w:w="4319" w:type="dxa"/>
            <w:tcBorders/>
          </w:tcPr>
          <w:p>
            <w:pPr>
              <w:pStyle w:val="Normal"/>
              <w:widowControl/>
              <w:spacing w:lineRule="auto" w:line="240" w:before="0" w:after="0"/>
              <w:jc w:val="left"/>
              <w:rPr>
                <w:rFonts w:ascii="Cambria" w:hAnsi="Cambria" w:eastAsia="ＭＳ 明朝" w:cs=""/>
                <w:kern w:val="0"/>
                <w:sz w:val="22"/>
                <w:szCs w:val="22"/>
                <w:lang w:val="en-US" w:eastAsia="en-US" w:bidi="ar-SA"/>
              </w:rPr>
            </w:pPr>
            <w:r>
              <w:rPr>
                <w:rFonts w:eastAsia="ＭＳ 明朝" w:cs=""/>
                <w:kern w:val="0"/>
                <w:sz w:val="22"/>
                <w:szCs w:val="22"/>
                <w:lang w:val="en-US" w:eastAsia="en-US" w:bidi="ar-SA"/>
              </w:rPr>
              <w:t>Value</w:t>
            </w:r>
          </w:p>
        </w:tc>
      </w:tr>
      <w:tr>
        <w:trPr/>
        <w:tc>
          <w:tcPr>
            <w:tcW w:w="4320" w:type="dxa"/>
            <w:tcBorders/>
          </w:tcPr>
          <w:p>
            <w:pPr>
              <w:pStyle w:val="Normal"/>
              <w:widowControl/>
              <w:spacing w:lineRule="auto" w:line="240" w:before="0" w:after="0"/>
              <w:jc w:val="left"/>
              <w:rPr>
                <w:rFonts w:ascii="Cambria" w:hAnsi="Cambria" w:eastAsia="ＭＳ 明朝" w:cs=""/>
                <w:kern w:val="0"/>
                <w:sz w:val="22"/>
                <w:szCs w:val="22"/>
                <w:lang w:val="en-US" w:eastAsia="en-US" w:bidi="ar-SA"/>
              </w:rPr>
            </w:pPr>
            <w:r>
              <w:rPr>
                <w:rFonts w:eastAsia="ＭＳ 明朝" w:cs=""/>
                <w:kern w:val="0"/>
                <w:sz w:val="22"/>
                <w:szCs w:val="22"/>
                <w:lang w:val="en-US" w:eastAsia="en-US" w:bidi="ar-SA"/>
              </w:rPr>
              <w:t>IRR (Base)</w:t>
            </w:r>
          </w:p>
        </w:tc>
        <w:tc>
          <w:tcPr>
            <w:tcW w:w="4319" w:type="dxa"/>
            <w:tcBorders/>
          </w:tcPr>
          <w:p>
            <w:pPr>
              <w:pStyle w:val="Normal"/>
              <w:widowControl/>
              <w:spacing w:lineRule="auto" w:line="240" w:before="0" w:after="0"/>
              <w:jc w:val="left"/>
              <w:rPr>
                <w:rFonts w:ascii="Cambria" w:hAnsi="Cambria" w:eastAsia="ＭＳ 明朝" w:cs=""/>
                <w:kern w:val="0"/>
                <w:sz w:val="22"/>
                <w:szCs w:val="22"/>
                <w:lang w:val="en-US" w:eastAsia="en-US" w:bidi="ar-SA"/>
              </w:rPr>
            </w:pPr>
            <w:r>
              <w:rPr>
                <w:rFonts w:eastAsia="ＭＳ 明朝" w:cs=""/>
                <w:kern w:val="0"/>
                <w:sz w:val="22"/>
                <w:szCs w:val="22"/>
                <w:lang w:val="en-US" w:eastAsia="en-US" w:bidi="ar-SA"/>
              </w:rPr>
              <w:t>22%</w:t>
            </w:r>
          </w:p>
        </w:tc>
      </w:tr>
      <w:tr>
        <w:trPr/>
        <w:tc>
          <w:tcPr>
            <w:tcW w:w="4320" w:type="dxa"/>
            <w:tcBorders/>
          </w:tcPr>
          <w:p>
            <w:pPr>
              <w:pStyle w:val="Normal"/>
              <w:widowControl/>
              <w:spacing w:lineRule="auto" w:line="240" w:before="0" w:after="0"/>
              <w:jc w:val="left"/>
              <w:rPr>
                <w:rFonts w:ascii="Cambria" w:hAnsi="Cambria" w:eastAsia="ＭＳ 明朝" w:cs=""/>
                <w:kern w:val="0"/>
                <w:sz w:val="22"/>
                <w:szCs w:val="22"/>
                <w:lang w:val="en-US" w:eastAsia="en-US" w:bidi="ar-SA"/>
              </w:rPr>
            </w:pPr>
            <w:r>
              <w:rPr>
                <w:rFonts w:eastAsia="ＭＳ 明朝" w:cs=""/>
                <w:kern w:val="0"/>
                <w:sz w:val="22"/>
                <w:szCs w:val="22"/>
                <w:lang w:val="en-US" w:eastAsia="en-US" w:bidi="ar-SA"/>
              </w:rPr>
              <w:t>ROI (Y5)</w:t>
            </w:r>
          </w:p>
        </w:tc>
        <w:tc>
          <w:tcPr>
            <w:tcW w:w="4319" w:type="dxa"/>
            <w:tcBorders/>
          </w:tcPr>
          <w:p>
            <w:pPr>
              <w:pStyle w:val="Normal"/>
              <w:widowControl/>
              <w:spacing w:lineRule="auto" w:line="240" w:before="0" w:after="0"/>
              <w:jc w:val="left"/>
              <w:rPr>
                <w:rFonts w:ascii="Cambria" w:hAnsi="Cambria" w:eastAsia="ＭＳ 明朝" w:cs=""/>
                <w:kern w:val="0"/>
                <w:sz w:val="22"/>
                <w:szCs w:val="22"/>
                <w:lang w:val="en-US" w:eastAsia="en-US" w:bidi="ar-SA"/>
              </w:rPr>
            </w:pPr>
            <w:r>
              <w:rPr>
                <w:rFonts w:eastAsia="ＭＳ 明朝" w:cs=""/>
                <w:kern w:val="0"/>
                <w:sz w:val="22"/>
                <w:szCs w:val="22"/>
                <w:lang w:val="en-US" w:eastAsia="en-US" w:bidi="ar-SA"/>
              </w:rPr>
              <w:t>2.8×</w:t>
            </w:r>
          </w:p>
        </w:tc>
      </w:tr>
      <w:tr>
        <w:trPr/>
        <w:tc>
          <w:tcPr>
            <w:tcW w:w="4320" w:type="dxa"/>
            <w:tcBorders/>
          </w:tcPr>
          <w:p>
            <w:pPr>
              <w:pStyle w:val="Normal"/>
              <w:widowControl/>
              <w:spacing w:lineRule="auto" w:line="240" w:before="0" w:after="0"/>
              <w:jc w:val="left"/>
              <w:rPr>
                <w:rFonts w:ascii="Cambria" w:hAnsi="Cambria" w:eastAsia="ＭＳ 明朝" w:cs=""/>
                <w:kern w:val="0"/>
                <w:sz w:val="22"/>
                <w:szCs w:val="22"/>
                <w:lang w:val="en-US" w:eastAsia="en-US" w:bidi="ar-SA"/>
              </w:rPr>
            </w:pPr>
            <w:r>
              <w:rPr>
                <w:rFonts w:eastAsia="ＭＳ 明朝" w:cs=""/>
                <w:kern w:val="0"/>
                <w:sz w:val="22"/>
                <w:szCs w:val="22"/>
                <w:lang w:val="en-US" w:eastAsia="en-US" w:bidi="ar-SA"/>
              </w:rPr>
              <w:t>Payback Period</w:t>
            </w:r>
          </w:p>
        </w:tc>
        <w:tc>
          <w:tcPr>
            <w:tcW w:w="4319" w:type="dxa"/>
            <w:tcBorders/>
          </w:tcPr>
          <w:p>
            <w:pPr>
              <w:pStyle w:val="Normal"/>
              <w:widowControl/>
              <w:spacing w:lineRule="auto" w:line="240" w:before="0" w:after="0"/>
              <w:jc w:val="left"/>
              <w:rPr>
                <w:rFonts w:ascii="Cambria" w:hAnsi="Cambria" w:eastAsia="ＭＳ 明朝" w:cs=""/>
                <w:kern w:val="0"/>
                <w:sz w:val="22"/>
                <w:szCs w:val="22"/>
                <w:lang w:val="en-US" w:eastAsia="en-US" w:bidi="ar-SA"/>
              </w:rPr>
            </w:pPr>
            <w:r>
              <w:rPr>
                <w:rFonts w:eastAsia="ＭＳ 明朝" w:cs=""/>
                <w:kern w:val="0"/>
                <w:sz w:val="22"/>
                <w:szCs w:val="22"/>
                <w:lang w:val="en-US" w:eastAsia="en-US" w:bidi="ar-SA"/>
              </w:rPr>
              <w:t>&lt; 2 yrs</w:t>
            </w:r>
          </w:p>
        </w:tc>
      </w:tr>
    </w:tbl>
    <w:p>
      <w:pPr>
        <w:pStyle w:val="Normal"/>
        <w:rPr/>
      </w:pPr>
      <w:r>
        <w:rPr/>
        <w:t>Key View: Asset</w:t>
        <w:noBreakHyphen/>
        <w:t>backed security and rapid payback (&lt;2 years) provide early investor confidence, while IRR and ROI demonstrate attractive long</w:t>
        <w:noBreakHyphen/>
        <w:t>term returns.</w:t>
      </w:r>
    </w:p>
    <w:p>
      <w:pPr>
        <w:pStyle w:val="Normal"/>
        <w:rPr/>
      </w:pPr>
      <w:r>
        <w:rPr/>
        <w:t>Seed Allocation</w:t>
      </w:r>
    </w:p>
    <w:p>
      <w:pPr>
        <w:pStyle w:val="Normal"/>
        <w:rPr/>
      </w:pPr>
      <w:r>
        <w:rPr/>
        <w:t>Methodology: Allocation of €350k seed capital, modelled for pre</w:t>
        <w:noBreakHyphen/>
        <w:t>launch phase.</w:t>
      </w:r>
    </w:p>
    <w:tbl>
      <w:tblPr>
        <w:tblStyle w:val="TableGrid"/>
        <w:tblW w:w="8640" w:type="dxa"/>
        <w:jc w:val="left"/>
        <w:tblInd w:w="0" w:type="dxa"/>
        <w:tblLayout w:type="fixed"/>
        <w:tblCellMar>
          <w:top w:w="0" w:type="dxa"/>
          <w:left w:w="108" w:type="dxa"/>
          <w:bottom w:w="0" w:type="dxa"/>
          <w:right w:w="108" w:type="dxa"/>
        </w:tblCellMar>
        <w:tblLook w:firstRow="1" w:noVBand="1" w:lastRow="0" w:firstColumn="1" w:lastColumn="0" w:noHBand="0" w:val="04a0"/>
      </w:tblPr>
      <w:tblGrid>
        <w:gridCol w:w="2880"/>
        <w:gridCol w:w="2880"/>
        <w:gridCol w:w="2880"/>
      </w:tblGrid>
      <w:tr>
        <w:trPr/>
        <w:tc>
          <w:tcPr>
            <w:tcW w:w="2880" w:type="dxa"/>
            <w:tcBorders/>
          </w:tcPr>
          <w:p>
            <w:pPr>
              <w:pStyle w:val="Normal"/>
              <w:widowControl/>
              <w:spacing w:lineRule="auto" w:line="240" w:before="0" w:after="0"/>
              <w:jc w:val="left"/>
              <w:rPr>
                <w:rFonts w:ascii="Cambria" w:hAnsi="Cambria" w:eastAsia="ＭＳ 明朝" w:cs=""/>
                <w:kern w:val="0"/>
                <w:sz w:val="22"/>
                <w:szCs w:val="22"/>
                <w:lang w:val="en-US" w:eastAsia="en-US" w:bidi="ar-SA"/>
              </w:rPr>
            </w:pPr>
            <w:r>
              <w:rPr>
                <w:rFonts w:eastAsia="ＭＳ 明朝" w:cs=""/>
                <w:kern w:val="0"/>
                <w:sz w:val="22"/>
                <w:szCs w:val="22"/>
                <w:lang w:val="en-US" w:eastAsia="en-US" w:bidi="ar-SA"/>
              </w:rPr>
              <w:t>Category</w:t>
            </w:r>
          </w:p>
        </w:tc>
        <w:tc>
          <w:tcPr>
            <w:tcW w:w="2880" w:type="dxa"/>
            <w:tcBorders/>
          </w:tcPr>
          <w:p>
            <w:pPr>
              <w:pStyle w:val="Normal"/>
              <w:widowControl/>
              <w:spacing w:lineRule="auto" w:line="240" w:before="0" w:after="0"/>
              <w:jc w:val="left"/>
              <w:rPr>
                <w:rFonts w:ascii="Cambria" w:hAnsi="Cambria" w:eastAsia="ＭＳ 明朝" w:cs=""/>
                <w:kern w:val="0"/>
                <w:sz w:val="22"/>
                <w:szCs w:val="22"/>
                <w:lang w:val="en-US" w:eastAsia="en-US" w:bidi="ar-SA"/>
              </w:rPr>
            </w:pPr>
            <w:r>
              <w:rPr>
                <w:rFonts w:eastAsia="ＭＳ 明朝" w:cs=""/>
                <w:kern w:val="0"/>
                <w:sz w:val="22"/>
                <w:szCs w:val="22"/>
                <w:lang w:val="en-US" w:eastAsia="en-US" w:bidi="ar-SA"/>
              </w:rPr>
              <w:t>% Allocation</w:t>
            </w:r>
          </w:p>
        </w:tc>
        <w:tc>
          <w:tcPr>
            <w:tcW w:w="2880" w:type="dxa"/>
            <w:tcBorders/>
          </w:tcPr>
          <w:p>
            <w:pPr>
              <w:pStyle w:val="Normal"/>
              <w:widowControl/>
              <w:spacing w:lineRule="auto" w:line="240" w:before="0" w:after="0"/>
              <w:jc w:val="left"/>
              <w:rPr>
                <w:rFonts w:ascii="Cambria" w:hAnsi="Cambria" w:eastAsia="ＭＳ 明朝" w:cs=""/>
                <w:kern w:val="0"/>
                <w:sz w:val="22"/>
                <w:szCs w:val="22"/>
                <w:lang w:val="en-US" w:eastAsia="en-US" w:bidi="ar-SA"/>
              </w:rPr>
            </w:pPr>
            <w:r>
              <w:rPr>
                <w:rFonts w:eastAsia="ＭＳ 明朝" w:cs=""/>
                <w:kern w:val="0"/>
                <w:sz w:val="22"/>
                <w:szCs w:val="22"/>
                <w:lang w:val="en-US" w:eastAsia="en-US" w:bidi="ar-SA"/>
              </w:rPr>
              <w:t>Amount (€)</w:t>
            </w:r>
          </w:p>
        </w:tc>
      </w:tr>
      <w:tr>
        <w:trPr/>
        <w:tc>
          <w:tcPr>
            <w:tcW w:w="2880" w:type="dxa"/>
            <w:tcBorders/>
          </w:tcPr>
          <w:p>
            <w:pPr>
              <w:pStyle w:val="Normal"/>
              <w:widowControl/>
              <w:spacing w:lineRule="auto" w:line="240" w:before="0" w:after="0"/>
              <w:jc w:val="left"/>
              <w:rPr>
                <w:rFonts w:ascii="Cambria" w:hAnsi="Cambria" w:eastAsia="ＭＳ 明朝" w:cs=""/>
                <w:kern w:val="0"/>
                <w:sz w:val="22"/>
                <w:szCs w:val="22"/>
                <w:lang w:val="en-US" w:eastAsia="en-US" w:bidi="ar-SA"/>
              </w:rPr>
            </w:pPr>
            <w:r>
              <w:rPr>
                <w:rFonts w:eastAsia="ＭＳ 明朝" w:cs=""/>
                <w:kern w:val="0"/>
                <w:sz w:val="22"/>
                <w:szCs w:val="22"/>
                <w:lang w:val="en-US" w:eastAsia="en-US" w:bidi="ar-SA"/>
              </w:rPr>
              <w:t>Land</w:t>
            </w:r>
          </w:p>
        </w:tc>
        <w:tc>
          <w:tcPr>
            <w:tcW w:w="2880" w:type="dxa"/>
            <w:tcBorders/>
          </w:tcPr>
          <w:p>
            <w:pPr>
              <w:pStyle w:val="Normal"/>
              <w:widowControl/>
              <w:spacing w:lineRule="auto" w:line="240" w:before="0" w:after="0"/>
              <w:jc w:val="left"/>
              <w:rPr>
                <w:rFonts w:ascii="Cambria" w:hAnsi="Cambria" w:eastAsia="ＭＳ 明朝" w:cs=""/>
                <w:kern w:val="0"/>
                <w:sz w:val="22"/>
                <w:szCs w:val="22"/>
                <w:lang w:val="en-US" w:eastAsia="en-US" w:bidi="ar-SA"/>
              </w:rPr>
            </w:pPr>
            <w:r>
              <w:rPr>
                <w:rFonts w:eastAsia="ＭＳ 明朝" w:cs=""/>
                <w:kern w:val="0"/>
                <w:sz w:val="22"/>
                <w:szCs w:val="22"/>
                <w:lang w:val="en-US" w:eastAsia="en-US" w:bidi="ar-SA"/>
              </w:rPr>
              <w:t>62.9%</w:t>
            </w:r>
          </w:p>
        </w:tc>
        <w:tc>
          <w:tcPr>
            <w:tcW w:w="2880" w:type="dxa"/>
            <w:tcBorders/>
          </w:tcPr>
          <w:p>
            <w:pPr>
              <w:pStyle w:val="Normal"/>
              <w:widowControl/>
              <w:spacing w:lineRule="auto" w:line="240" w:before="0" w:after="0"/>
              <w:jc w:val="left"/>
              <w:rPr>
                <w:rFonts w:ascii="Cambria" w:hAnsi="Cambria" w:eastAsia="ＭＳ 明朝" w:cs=""/>
                <w:kern w:val="0"/>
                <w:sz w:val="22"/>
                <w:szCs w:val="22"/>
                <w:lang w:val="en-US" w:eastAsia="en-US" w:bidi="ar-SA"/>
              </w:rPr>
            </w:pPr>
            <w:r>
              <w:rPr>
                <w:rFonts w:eastAsia="ＭＳ 明朝" w:cs=""/>
                <w:kern w:val="0"/>
                <w:sz w:val="22"/>
                <w:szCs w:val="22"/>
                <w:lang w:val="en-US" w:eastAsia="en-US" w:bidi="ar-SA"/>
              </w:rPr>
              <w:t>220,000</w:t>
            </w:r>
          </w:p>
        </w:tc>
      </w:tr>
      <w:tr>
        <w:trPr/>
        <w:tc>
          <w:tcPr>
            <w:tcW w:w="2880" w:type="dxa"/>
            <w:tcBorders/>
          </w:tcPr>
          <w:p>
            <w:pPr>
              <w:pStyle w:val="Normal"/>
              <w:widowControl/>
              <w:spacing w:lineRule="auto" w:line="240" w:before="0" w:after="0"/>
              <w:jc w:val="left"/>
              <w:rPr>
                <w:rFonts w:ascii="Cambria" w:hAnsi="Cambria" w:eastAsia="ＭＳ 明朝" w:cs=""/>
                <w:kern w:val="0"/>
                <w:sz w:val="22"/>
                <w:szCs w:val="22"/>
                <w:lang w:val="en-US" w:eastAsia="en-US" w:bidi="ar-SA"/>
              </w:rPr>
            </w:pPr>
            <w:r>
              <w:rPr>
                <w:rFonts w:eastAsia="ＭＳ 明朝" w:cs=""/>
                <w:kern w:val="0"/>
                <w:sz w:val="22"/>
                <w:szCs w:val="22"/>
                <w:lang w:val="en-US" w:eastAsia="en-US" w:bidi="ar-SA"/>
              </w:rPr>
              <w:t>CAPEX</w:t>
            </w:r>
          </w:p>
        </w:tc>
        <w:tc>
          <w:tcPr>
            <w:tcW w:w="2880" w:type="dxa"/>
            <w:tcBorders/>
          </w:tcPr>
          <w:p>
            <w:pPr>
              <w:pStyle w:val="Normal"/>
              <w:widowControl/>
              <w:spacing w:lineRule="auto" w:line="240" w:before="0" w:after="0"/>
              <w:jc w:val="left"/>
              <w:rPr>
                <w:rFonts w:ascii="Cambria" w:hAnsi="Cambria" w:eastAsia="ＭＳ 明朝" w:cs=""/>
                <w:kern w:val="0"/>
                <w:sz w:val="22"/>
                <w:szCs w:val="22"/>
                <w:lang w:val="en-US" w:eastAsia="en-US" w:bidi="ar-SA"/>
              </w:rPr>
            </w:pPr>
            <w:r>
              <w:rPr>
                <w:rFonts w:eastAsia="ＭＳ 明朝" w:cs=""/>
                <w:kern w:val="0"/>
                <w:sz w:val="22"/>
                <w:szCs w:val="22"/>
                <w:lang w:val="en-US" w:eastAsia="en-US" w:bidi="ar-SA"/>
              </w:rPr>
              <w:t>22.9%</w:t>
            </w:r>
          </w:p>
        </w:tc>
        <w:tc>
          <w:tcPr>
            <w:tcW w:w="2880" w:type="dxa"/>
            <w:tcBorders/>
          </w:tcPr>
          <w:p>
            <w:pPr>
              <w:pStyle w:val="Normal"/>
              <w:widowControl/>
              <w:spacing w:lineRule="auto" w:line="240" w:before="0" w:after="0"/>
              <w:jc w:val="left"/>
              <w:rPr>
                <w:rFonts w:ascii="Cambria" w:hAnsi="Cambria" w:eastAsia="ＭＳ 明朝" w:cs=""/>
                <w:kern w:val="0"/>
                <w:sz w:val="22"/>
                <w:szCs w:val="22"/>
                <w:lang w:val="en-US" w:eastAsia="en-US" w:bidi="ar-SA"/>
              </w:rPr>
            </w:pPr>
            <w:r>
              <w:rPr>
                <w:rFonts w:eastAsia="ＭＳ 明朝" w:cs=""/>
                <w:kern w:val="0"/>
                <w:sz w:val="22"/>
                <w:szCs w:val="22"/>
                <w:lang w:val="en-US" w:eastAsia="en-US" w:bidi="ar-SA"/>
              </w:rPr>
              <w:t>80,000</w:t>
            </w:r>
          </w:p>
        </w:tc>
      </w:tr>
      <w:tr>
        <w:trPr/>
        <w:tc>
          <w:tcPr>
            <w:tcW w:w="2880" w:type="dxa"/>
            <w:tcBorders/>
          </w:tcPr>
          <w:p>
            <w:pPr>
              <w:pStyle w:val="Normal"/>
              <w:widowControl/>
              <w:spacing w:lineRule="auto" w:line="240" w:before="0" w:after="0"/>
              <w:jc w:val="left"/>
              <w:rPr>
                <w:rFonts w:ascii="Cambria" w:hAnsi="Cambria" w:eastAsia="ＭＳ 明朝" w:cs=""/>
                <w:kern w:val="0"/>
                <w:sz w:val="22"/>
                <w:szCs w:val="22"/>
                <w:lang w:val="en-US" w:eastAsia="en-US" w:bidi="ar-SA"/>
              </w:rPr>
            </w:pPr>
            <w:r>
              <w:rPr>
                <w:rFonts w:eastAsia="ＭＳ 明朝" w:cs=""/>
                <w:kern w:val="0"/>
                <w:sz w:val="22"/>
                <w:szCs w:val="22"/>
                <w:lang w:val="en-US" w:eastAsia="en-US" w:bidi="ar-SA"/>
              </w:rPr>
              <w:t>OPEX + Branding</w:t>
            </w:r>
          </w:p>
        </w:tc>
        <w:tc>
          <w:tcPr>
            <w:tcW w:w="2880" w:type="dxa"/>
            <w:tcBorders/>
          </w:tcPr>
          <w:p>
            <w:pPr>
              <w:pStyle w:val="Normal"/>
              <w:widowControl/>
              <w:spacing w:lineRule="auto" w:line="240" w:before="0" w:after="0"/>
              <w:jc w:val="left"/>
              <w:rPr>
                <w:rFonts w:ascii="Cambria" w:hAnsi="Cambria" w:eastAsia="ＭＳ 明朝" w:cs=""/>
                <w:kern w:val="0"/>
                <w:sz w:val="22"/>
                <w:szCs w:val="22"/>
                <w:lang w:val="en-US" w:eastAsia="en-US" w:bidi="ar-SA"/>
              </w:rPr>
            </w:pPr>
            <w:r>
              <w:rPr>
                <w:rFonts w:eastAsia="ＭＳ 明朝" w:cs=""/>
                <w:kern w:val="0"/>
                <w:sz w:val="22"/>
                <w:szCs w:val="22"/>
                <w:lang w:val="en-US" w:eastAsia="en-US" w:bidi="ar-SA"/>
              </w:rPr>
              <w:t>14.2%</w:t>
            </w:r>
          </w:p>
        </w:tc>
        <w:tc>
          <w:tcPr>
            <w:tcW w:w="2880" w:type="dxa"/>
            <w:tcBorders/>
          </w:tcPr>
          <w:p>
            <w:pPr>
              <w:pStyle w:val="Normal"/>
              <w:widowControl/>
              <w:spacing w:lineRule="auto" w:line="240" w:before="0" w:after="0"/>
              <w:jc w:val="left"/>
              <w:rPr>
                <w:rFonts w:ascii="Cambria" w:hAnsi="Cambria" w:eastAsia="ＭＳ 明朝" w:cs=""/>
                <w:kern w:val="0"/>
                <w:sz w:val="22"/>
                <w:szCs w:val="22"/>
                <w:lang w:val="en-US" w:eastAsia="en-US" w:bidi="ar-SA"/>
              </w:rPr>
            </w:pPr>
            <w:r>
              <w:rPr>
                <w:rFonts w:eastAsia="ＭＳ 明朝" w:cs=""/>
                <w:kern w:val="0"/>
                <w:sz w:val="22"/>
                <w:szCs w:val="22"/>
                <w:lang w:val="en-US" w:eastAsia="en-US" w:bidi="ar-SA"/>
              </w:rPr>
              <w:t>50,000</w:t>
            </w:r>
          </w:p>
        </w:tc>
      </w:tr>
      <w:tr>
        <w:trPr/>
        <w:tc>
          <w:tcPr>
            <w:tcW w:w="2880" w:type="dxa"/>
            <w:tcBorders/>
          </w:tcPr>
          <w:p>
            <w:pPr>
              <w:pStyle w:val="Normal"/>
              <w:widowControl/>
              <w:spacing w:lineRule="auto" w:line="240" w:before="0" w:after="0"/>
              <w:jc w:val="left"/>
              <w:rPr>
                <w:rFonts w:ascii="Cambria" w:hAnsi="Cambria" w:eastAsia="ＭＳ 明朝" w:cs=""/>
                <w:kern w:val="0"/>
                <w:sz w:val="22"/>
                <w:szCs w:val="22"/>
                <w:lang w:val="en-US" w:eastAsia="en-US" w:bidi="ar-SA"/>
              </w:rPr>
            </w:pPr>
            <w:r>
              <w:rPr>
                <w:rFonts w:eastAsia="ＭＳ 明朝" w:cs=""/>
                <w:kern w:val="0"/>
                <w:sz w:val="22"/>
                <w:szCs w:val="22"/>
                <w:lang w:val="en-US" w:eastAsia="en-US" w:bidi="ar-SA"/>
              </w:rPr>
              <w:t>Total</w:t>
            </w:r>
          </w:p>
        </w:tc>
        <w:tc>
          <w:tcPr>
            <w:tcW w:w="2880" w:type="dxa"/>
            <w:tcBorders/>
          </w:tcPr>
          <w:p>
            <w:pPr>
              <w:pStyle w:val="Normal"/>
              <w:widowControl/>
              <w:spacing w:lineRule="auto" w:line="240" w:before="0" w:after="0"/>
              <w:jc w:val="left"/>
              <w:rPr>
                <w:rFonts w:ascii="Cambria" w:hAnsi="Cambria" w:eastAsia="ＭＳ 明朝" w:cs=""/>
                <w:kern w:val="0"/>
                <w:sz w:val="22"/>
                <w:szCs w:val="22"/>
                <w:lang w:val="en-US" w:eastAsia="en-US" w:bidi="ar-SA"/>
              </w:rPr>
            </w:pPr>
            <w:r>
              <w:rPr>
                <w:rFonts w:eastAsia="ＭＳ 明朝" w:cs=""/>
                <w:kern w:val="0"/>
                <w:sz w:val="22"/>
                <w:szCs w:val="22"/>
                <w:lang w:val="en-US" w:eastAsia="en-US" w:bidi="ar-SA"/>
              </w:rPr>
              <w:t>100%</w:t>
            </w:r>
          </w:p>
        </w:tc>
        <w:tc>
          <w:tcPr>
            <w:tcW w:w="2880" w:type="dxa"/>
            <w:tcBorders/>
          </w:tcPr>
          <w:p>
            <w:pPr>
              <w:pStyle w:val="Normal"/>
              <w:widowControl/>
              <w:spacing w:lineRule="auto" w:line="240" w:before="0" w:after="0"/>
              <w:jc w:val="left"/>
              <w:rPr>
                <w:rFonts w:ascii="Cambria" w:hAnsi="Cambria" w:eastAsia="ＭＳ 明朝" w:cs=""/>
                <w:kern w:val="0"/>
                <w:sz w:val="22"/>
                <w:szCs w:val="22"/>
                <w:lang w:val="en-US" w:eastAsia="en-US" w:bidi="ar-SA"/>
              </w:rPr>
            </w:pPr>
            <w:r>
              <w:rPr>
                <w:rFonts w:eastAsia="ＭＳ 明朝" w:cs=""/>
                <w:kern w:val="0"/>
                <w:sz w:val="22"/>
                <w:szCs w:val="22"/>
                <w:lang w:val="en-US" w:eastAsia="en-US" w:bidi="ar-SA"/>
              </w:rPr>
              <w:t>350,000</w:t>
            </w:r>
          </w:p>
        </w:tc>
      </w:tr>
    </w:tbl>
    <w:p>
      <w:pPr>
        <w:pStyle w:val="Normal"/>
        <w:rPr/>
      </w:pPr>
      <w:r>
        <w:rPr/>
        <w:t>Key View: Majority allocation to land ensures asset</w:t>
        <w:noBreakHyphen/>
        <w:t>backed security, with CAPEX and lean OPEX supporting early operational readiness.</w:t>
      </w:r>
    </w:p>
    <w:p>
      <w:pPr>
        <w:pStyle w:val="Normal"/>
        <w:rPr/>
      </w:pPr>
      <w:r>
        <w:rPr/>
        <w:t>Visuals</w:t>
      </w:r>
    </w:p>
    <w:p>
      <w:pPr>
        <w:pStyle w:val="Normal"/>
        <w:rPr/>
      </w:pPr>
      <w:r>
        <w:rPr/>
        <w:drawing>
          <wp:inline distT="0" distB="0" distL="0" distR="0">
            <wp:extent cx="4572000" cy="2743200"/>
            <wp:effectExtent l="0" t="0" r="0" b="0"/>
            <wp:docPr id="19" name="Picture 1 Kopiëren 1"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 Kopiëren 1" descr=""/>
                    <pic:cNvPicPr>
                      <a:picLocks noChangeAspect="1" noChangeArrowheads="1"/>
                    </pic:cNvPicPr>
                  </pic:nvPicPr>
                  <pic:blipFill>
                    <a:blip r:embed="rId20"/>
                    <a:stretch>
                      <a:fillRect/>
                    </a:stretch>
                  </pic:blipFill>
                  <pic:spPr bwMode="auto">
                    <a:xfrm>
                      <a:off x="0" y="0"/>
                      <a:ext cx="4572000" cy="2743200"/>
                    </a:xfrm>
                    <a:prstGeom prst="rect">
                      <a:avLst/>
                    </a:prstGeom>
                  </pic:spPr>
                </pic:pic>
              </a:graphicData>
            </a:graphic>
          </wp:inline>
        </w:drawing>
      </w:r>
    </w:p>
    <w:p>
      <w:pPr>
        <w:pStyle w:val="Normal"/>
        <w:rPr/>
      </w:pPr>
      <w:r>
        <w:rPr/>
        <w:drawing>
          <wp:inline distT="0" distB="0" distL="0" distR="0">
            <wp:extent cx="4572000" cy="2743200"/>
            <wp:effectExtent l="0" t="0" r="0" b="0"/>
            <wp:docPr id="20" name="Picture 2 Kopiëren 1"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 Kopiëren 1" descr=""/>
                    <pic:cNvPicPr>
                      <a:picLocks noChangeAspect="1" noChangeArrowheads="1"/>
                    </pic:cNvPicPr>
                  </pic:nvPicPr>
                  <pic:blipFill>
                    <a:blip r:embed="rId21"/>
                    <a:stretch>
                      <a:fillRect/>
                    </a:stretch>
                  </pic:blipFill>
                  <pic:spPr bwMode="auto">
                    <a:xfrm>
                      <a:off x="0" y="0"/>
                      <a:ext cx="4572000" cy="2743200"/>
                    </a:xfrm>
                    <a:prstGeom prst="rect">
                      <a:avLst/>
                    </a:prstGeom>
                  </pic:spPr>
                </pic:pic>
              </a:graphicData>
            </a:graphic>
          </wp:inline>
        </w:drawing>
      </w:r>
    </w:p>
    <w:p>
      <w:pPr>
        <w:pStyle w:val="Normal"/>
        <w:spacing w:before="0" w:after="0"/>
        <w:rPr/>
      </w:pPr>
      <w:r>
        <w:rPr/>
        <w:drawing>
          <wp:inline distT="0" distB="0" distL="0" distR="0">
            <wp:extent cx="4572000" cy="2743200"/>
            <wp:effectExtent l="0" t="0" r="0" b="0"/>
            <wp:docPr id="21" name="Picture 3 Kopiëren 1"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3 Kopiëren 1" descr=""/>
                    <pic:cNvPicPr>
                      <a:picLocks noChangeAspect="1" noChangeArrowheads="1"/>
                    </pic:cNvPicPr>
                  </pic:nvPicPr>
                  <pic:blipFill>
                    <a:blip r:embed="rId22"/>
                    <a:stretch>
                      <a:fillRect/>
                    </a:stretch>
                  </pic:blipFill>
                  <pic:spPr bwMode="auto">
                    <a:xfrm>
                      <a:off x="0" y="0"/>
                      <a:ext cx="4572000" cy="2743200"/>
                    </a:xfrm>
                    <a:prstGeom prst="rect">
                      <a:avLst/>
                    </a:prstGeom>
                  </pic:spPr>
                </pic:pic>
              </a:graphicData>
            </a:graphic>
          </wp:inline>
        </w:drawing>
      </w:r>
    </w:p>
    <w:p>
      <w:pPr>
        <w:pStyle w:val="Normal"/>
        <w:rPr/>
      </w:pPr>
      <w:r>
        <w:rPr/>
      </w:r>
      <w:r>
        <w:br w:type="page"/>
      </w:r>
    </w:p>
    <w:p>
      <w:pPr>
        <w:pStyle w:val="Normal"/>
        <w:spacing w:before="0" w:after="200"/>
        <w:jc w:val="center"/>
        <w:rPr/>
      </w:pPr>
      <w:r>
        <w:rPr>
          <w:b/>
          <w:sz w:val="28"/>
        </w:rPr>
        <w:t xml:space="preserve">📈 </w:t>
      </w:r>
      <w:r>
        <w:rPr>
          <w:b/>
          <w:sz w:val="28"/>
        </w:rPr>
        <w:t>Annex B – IRR Sensitivity</w:t>
      </w:r>
    </w:p>
    <w:p>
      <w:pPr>
        <w:pStyle w:val="Normal"/>
        <w:rPr/>
      </w:pPr>
      <w:r>
        <w:rPr/>
        <w:t>Methodology: Scenario modelling at a 10% discount rate, based on Terra Vita’s pre</w:t>
        <w:noBreakHyphen/>
        <w:t>launch assumptions. All figures are modelled estimates, not measured results.</w:t>
      </w:r>
    </w:p>
    <w:p>
      <w:pPr>
        <w:pStyle w:val="Normal"/>
        <w:rPr/>
      </w:pPr>
      <w:r>
        <w:rPr/>
        <w:t>IRR Sensitivity Grid</w:t>
      </w:r>
    </w:p>
    <w:tbl>
      <w:tblPr>
        <w:tblStyle w:val="TableGrid"/>
        <w:tblW w:w="8640" w:type="dxa"/>
        <w:jc w:val="left"/>
        <w:tblInd w:w="0" w:type="dxa"/>
        <w:tblLayout w:type="fixed"/>
        <w:tblCellMar>
          <w:top w:w="0" w:type="dxa"/>
          <w:left w:w="108" w:type="dxa"/>
          <w:bottom w:w="0" w:type="dxa"/>
          <w:right w:w="108" w:type="dxa"/>
        </w:tblCellMar>
        <w:tblLook w:firstRow="1" w:noVBand="1" w:lastRow="0" w:firstColumn="1" w:lastColumn="0" w:noHBand="0" w:val="04a0"/>
      </w:tblPr>
      <w:tblGrid>
        <w:gridCol w:w="1728"/>
        <w:gridCol w:w="1728"/>
        <w:gridCol w:w="1728"/>
        <w:gridCol w:w="1728"/>
        <w:gridCol w:w="1728"/>
      </w:tblGrid>
      <w:tr>
        <w:trPr/>
        <w:tc>
          <w:tcPr>
            <w:tcW w:w="1728" w:type="dxa"/>
            <w:tcBorders/>
          </w:tcPr>
          <w:p>
            <w:pPr>
              <w:pStyle w:val="Normal"/>
              <w:widowControl/>
              <w:spacing w:lineRule="auto" w:line="240" w:before="0" w:after="0"/>
              <w:jc w:val="left"/>
              <w:rPr>
                <w:rFonts w:ascii="Cambria" w:hAnsi="Cambria" w:eastAsia="ＭＳ 明朝" w:cs=""/>
                <w:kern w:val="0"/>
                <w:sz w:val="22"/>
                <w:szCs w:val="22"/>
                <w:lang w:val="en-US" w:eastAsia="en-US" w:bidi="ar-SA"/>
              </w:rPr>
            </w:pPr>
            <w:r>
              <w:rPr>
                <w:rFonts w:eastAsia="ＭＳ 明朝" w:cs=""/>
                <w:kern w:val="0"/>
                <w:sz w:val="22"/>
                <w:szCs w:val="22"/>
                <w:lang w:val="en-US" w:eastAsia="en-US" w:bidi="ar-SA"/>
              </w:rPr>
              <w:t>Scenario</w:t>
            </w:r>
          </w:p>
        </w:tc>
        <w:tc>
          <w:tcPr>
            <w:tcW w:w="1728" w:type="dxa"/>
            <w:tcBorders/>
          </w:tcPr>
          <w:p>
            <w:pPr>
              <w:pStyle w:val="Normal"/>
              <w:widowControl/>
              <w:spacing w:lineRule="auto" w:line="240" w:before="0" w:after="0"/>
              <w:jc w:val="left"/>
              <w:rPr>
                <w:rFonts w:ascii="Cambria" w:hAnsi="Cambria" w:eastAsia="ＭＳ 明朝" w:cs=""/>
                <w:kern w:val="0"/>
                <w:sz w:val="22"/>
                <w:szCs w:val="22"/>
                <w:lang w:val="en-US" w:eastAsia="en-US" w:bidi="ar-SA"/>
              </w:rPr>
            </w:pPr>
            <w:r>
              <w:rPr>
                <w:rFonts w:eastAsia="ＭＳ 明朝" w:cs=""/>
                <w:kern w:val="0"/>
                <w:sz w:val="22"/>
                <w:szCs w:val="22"/>
                <w:lang w:val="en-US" w:eastAsia="en-US" w:bidi="ar-SA"/>
              </w:rPr>
              <w:t>IRR</w:t>
            </w:r>
          </w:p>
        </w:tc>
        <w:tc>
          <w:tcPr>
            <w:tcW w:w="1728" w:type="dxa"/>
            <w:tcBorders/>
          </w:tcPr>
          <w:p>
            <w:pPr>
              <w:pStyle w:val="Normal"/>
              <w:widowControl/>
              <w:spacing w:lineRule="auto" w:line="240" w:before="0" w:after="0"/>
              <w:jc w:val="left"/>
              <w:rPr>
                <w:rFonts w:ascii="Cambria" w:hAnsi="Cambria" w:eastAsia="ＭＳ 明朝" w:cs=""/>
                <w:kern w:val="0"/>
                <w:sz w:val="22"/>
                <w:szCs w:val="22"/>
                <w:lang w:val="en-US" w:eastAsia="en-US" w:bidi="ar-SA"/>
              </w:rPr>
            </w:pPr>
            <w:r>
              <w:rPr>
                <w:rFonts w:eastAsia="ＭＳ 明朝" w:cs=""/>
                <w:kern w:val="0"/>
                <w:sz w:val="22"/>
                <w:szCs w:val="22"/>
                <w:lang w:val="en-US" w:eastAsia="en-US" w:bidi="ar-SA"/>
              </w:rPr>
              <w:t>Payback (yrs)</w:t>
            </w:r>
          </w:p>
        </w:tc>
        <w:tc>
          <w:tcPr>
            <w:tcW w:w="1728" w:type="dxa"/>
            <w:tcBorders/>
          </w:tcPr>
          <w:p>
            <w:pPr>
              <w:pStyle w:val="Normal"/>
              <w:widowControl/>
              <w:spacing w:lineRule="auto" w:line="240" w:before="0" w:after="0"/>
              <w:jc w:val="left"/>
              <w:rPr>
                <w:rFonts w:ascii="Cambria" w:hAnsi="Cambria" w:eastAsia="ＭＳ 明朝" w:cs=""/>
                <w:kern w:val="0"/>
                <w:sz w:val="22"/>
                <w:szCs w:val="22"/>
                <w:lang w:val="en-US" w:eastAsia="en-US" w:bidi="ar-SA"/>
              </w:rPr>
            </w:pPr>
            <w:r>
              <w:rPr>
                <w:rFonts w:eastAsia="ＭＳ 明朝" w:cs=""/>
                <w:kern w:val="0"/>
                <w:sz w:val="22"/>
                <w:szCs w:val="22"/>
                <w:lang w:val="en-US" w:eastAsia="en-US" w:bidi="ar-SA"/>
              </w:rPr>
              <w:t>NPV @10% (€)</w:t>
            </w:r>
          </w:p>
        </w:tc>
        <w:tc>
          <w:tcPr>
            <w:tcW w:w="1728" w:type="dxa"/>
            <w:tcBorders/>
          </w:tcPr>
          <w:p>
            <w:pPr>
              <w:pStyle w:val="Normal"/>
              <w:widowControl/>
              <w:spacing w:lineRule="auto" w:line="240" w:before="0" w:after="0"/>
              <w:jc w:val="left"/>
              <w:rPr>
                <w:rFonts w:ascii="Cambria" w:hAnsi="Cambria" w:eastAsia="ＭＳ 明朝" w:cs=""/>
                <w:kern w:val="0"/>
                <w:sz w:val="22"/>
                <w:szCs w:val="22"/>
                <w:lang w:val="en-US" w:eastAsia="en-US" w:bidi="ar-SA"/>
              </w:rPr>
            </w:pPr>
            <w:r>
              <w:rPr>
                <w:rFonts w:eastAsia="ＭＳ 明朝" w:cs=""/>
                <w:kern w:val="0"/>
                <w:sz w:val="22"/>
                <w:szCs w:val="22"/>
                <w:lang w:val="en-US" w:eastAsia="en-US" w:bidi="ar-SA"/>
              </w:rPr>
              <w:t>Assumptions</w:t>
            </w:r>
          </w:p>
        </w:tc>
      </w:tr>
      <w:tr>
        <w:trPr/>
        <w:tc>
          <w:tcPr>
            <w:tcW w:w="1728" w:type="dxa"/>
            <w:tcBorders/>
          </w:tcPr>
          <w:p>
            <w:pPr>
              <w:pStyle w:val="Normal"/>
              <w:widowControl/>
              <w:spacing w:lineRule="auto" w:line="240" w:before="0" w:after="0"/>
              <w:jc w:val="left"/>
              <w:rPr>
                <w:rFonts w:ascii="Cambria" w:hAnsi="Cambria" w:eastAsia="ＭＳ 明朝" w:cs=""/>
                <w:kern w:val="0"/>
                <w:sz w:val="22"/>
                <w:szCs w:val="22"/>
                <w:lang w:val="en-US" w:eastAsia="en-US" w:bidi="ar-SA"/>
              </w:rPr>
            </w:pPr>
            <w:r>
              <w:rPr>
                <w:rFonts w:eastAsia="ＭＳ 明朝" w:cs=""/>
                <w:kern w:val="0"/>
                <w:sz w:val="22"/>
                <w:szCs w:val="22"/>
                <w:lang w:val="en-US" w:eastAsia="en-US" w:bidi="ar-SA"/>
              </w:rPr>
              <w:t>Downside</w:t>
            </w:r>
          </w:p>
        </w:tc>
        <w:tc>
          <w:tcPr>
            <w:tcW w:w="1728" w:type="dxa"/>
            <w:tcBorders/>
          </w:tcPr>
          <w:p>
            <w:pPr>
              <w:pStyle w:val="Normal"/>
              <w:widowControl/>
              <w:spacing w:lineRule="auto" w:line="240" w:before="0" w:after="0"/>
              <w:jc w:val="left"/>
              <w:rPr>
                <w:rFonts w:ascii="Cambria" w:hAnsi="Cambria" w:eastAsia="ＭＳ 明朝" w:cs=""/>
                <w:kern w:val="0"/>
                <w:sz w:val="22"/>
                <w:szCs w:val="22"/>
                <w:lang w:val="en-US" w:eastAsia="en-US" w:bidi="ar-SA"/>
              </w:rPr>
            </w:pPr>
            <w:r>
              <w:rPr>
                <w:rFonts w:eastAsia="ＭＳ 明朝" w:cs=""/>
                <w:kern w:val="0"/>
                <w:sz w:val="22"/>
                <w:szCs w:val="22"/>
                <w:lang w:val="en-US" w:eastAsia="en-US" w:bidi="ar-SA"/>
              </w:rPr>
              <w:t>16%</w:t>
            </w:r>
          </w:p>
        </w:tc>
        <w:tc>
          <w:tcPr>
            <w:tcW w:w="1728" w:type="dxa"/>
            <w:tcBorders/>
          </w:tcPr>
          <w:p>
            <w:pPr>
              <w:pStyle w:val="Normal"/>
              <w:widowControl/>
              <w:spacing w:lineRule="auto" w:line="240" w:before="0" w:after="0"/>
              <w:jc w:val="left"/>
              <w:rPr>
                <w:rFonts w:ascii="Cambria" w:hAnsi="Cambria" w:eastAsia="ＭＳ 明朝" w:cs=""/>
                <w:kern w:val="0"/>
                <w:sz w:val="22"/>
                <w:szCs w:val="22"/>
                <w:lang w:val="en-US" w:eastAsia="en-US" w:bidi="ar-SA"/>
              </w:rPr>
            </w:pPr>
            <w:r>
              <w:rPr>
                <w:rFonts w:eastAsia="ＭＳ 明朝" w:cs=""/>
                <w:kern w:val="0"/>
                <w:sz w:val="22"/>
                <w:szCs w:val="22"/>
                <w:lang w:val="en-US" w:eastAsia="en-US" w:bidi="ar-SA"/>
              </w:rPr>
              <w:t>3.2</w:t>
            </w:r>
          </w:p>
        </w:tc>
        <w:tc>
          <w:tcPr>
            <w:tcW w:w="1728" w:type="dxa"/>
            <w:tcBorders/>
          </w:tcPr>
          <w:p>
            <w:pPr>
              <w:pStyle w:val="Normal"/>
              <w:widowControl/>
              <w:spacing w:lineRule="auto" w:line="240" w:before="0" w:after="0"/>
              <w:jc w:val="left"/>
              <w:rPr>
                <w:rFonts w:ascii="Cambria" w:hAnsi="Cambria" w:eastAsia="ＭＳ 明朝" w:cs=""/>
                <w:kern w:val="0"/>
                <w:sz w:val="22"/>
                <w:szCs w:val="22"/>
                <w:lang w:val="en-US" w:eastAsia="en-US" w:bidi="ar-SA"/>
              </w:rPr>
            </w:pPr>
            <w:r>
              <w:rPr>
                <w:rFonts w:eastAsia="ＭＳ 明朝" w:cs=""/>
                <w:kern w:val="0"/>
                <w:sz w:val="22"/>
                <w:szCs w:val="22"/>
                <w:lang w:val="en-US" w:eastAsia="en-US" w:bidi="ar-SA"/>
              </w:rPr>
              <w:t>50,000</w:t>
            </w:r>
          </w:p>
        </w:tc>
        <w:tc>
          <w:tcPr>
            <w:tcW w:w="1728" w:type="dxa"/>
            <w:tcBorders/>
          </w:tcPr>
          <w:p>
            <w:pPr>
              <w:pStyle w:val="Normal"/>
              <w:widowControl/>
              <w:spacing w:lineRule="auto" w:line="240" w:before="0" w:after="0"/>
              <w:jc w:val="left"/>
              <w:rPr>
                <w:rFonts w:ascii="Cambria" w:hAnsi="Cambria" w:eastAsia="ＭＳ 明朝" w:cs=""/>
                <w:kern w:val="0"/>
                <w:sz w:val="22"/>
                <w:szCs w:val="22"/>
                <w:lang w:val="en-US" w:eastAsia="en-US" w:bidi="ar-SA"/>
              </w:rPr>
            </w:pPr>
            <w:r>
              <w:rPr>
                <w:rFonts w:eastAsia="ＭＳ 明朝" w:cs=""/>
                <w:kern w:val="0"/>
                <w:sz w:val="22"/>
                <w:szCs w:val="22"/>
                <w:lang w:val="en-US" w:eastAsia="en-US" w:bidi="ar-SA"/>
              </w:rPr>
              <w:t>Slower uptake, higher OPEX, delayed carbon credits</w:t>
            </w:r>
          </w:p>
        </w:tc>
      </w:tr>
      <w:tr>
        <w:trPr/>
        <w:tc>
          <w:tcPr>
            <w:tcW w:w="1728" w:type="dxa"/>
            <w:tcBorders/>
          </w:tcPr>
          <w:p>
            <w:pPr>
              <w:pStyle w:val="Normal"/>
              <w:widowControl/>
              <w:spacing w:lineRule="auto" w:line="240" w:before="0" w:after="0"/>
              <w:jc w:val="left"/>
              <w:rPr>
                <w:rFonts w:ascii="Cambria" w:hAnsi="Cambria" w:eastAsia="ＭＳ 明朝" w:cs=""/>
                <w:kern w:val="0"/>
                <w:sz w:val="22"/>
                <w:szCs w:val="22"/>
                <w:lang w:val="en-US" w:eastAsia="en-US" w:bidi="ar-SA"/>
              </w:rPr>
            </w:pPr>
            <w:r>
              <w:rPr>
                <w:rFonts w:eastAsia="ＭＳ 明朝" w:cs=""/>
                <w:kern w:val="0"/>
                <w:sz w:val="22"/>
                <w:szCs w:val="22"/>
                <w:lang w:val="en-US" w:eastAsia="en-US" w:bidi="ar-SA"/>
              </w:rPr>
              <w:t>Base Case</w:t>
            </w:r>
          </w:p>
        </w:tc>
        <w:tc>
          <w:tcPr>
            <w:tcW w:w="1728" w:type="dxa"/>
            <w:tcBorders/>
          </w:tcPr>
          <w:p>
            <w:pPr>
              <w:pStyle w:val="Normal"/>
              <w:widowControl/>
              <w:spacing w:lineRule="auto" w:line="240" w:before="0" w:after="0"/>
              <w:jc w:val="left"/>
              <w:rPr>
                <w:rFonts w:ascii="Cambria" w:hAnsi="Cambria" w:eastAsia="ＭＳ 明朝" w:cs=""/>
                <w:kern w:val="0"/>
                <w:sz w:val="22"/>
                <w:szCs w:val="22"/>
                <w:lang w:val="en-US" w:eastAsia="en-US" w:bidi="ar-SA"/>
              </w:rPr>
            </w:pPr>
            <w:r>
              <w:rPr>
                <w:rFonts w:eastAsia="ＭＳ 明朝" w:cs=""/>
                <w:kern w:val="0"/>
                <w:sz w:val="22"/>
                <w:szCs w:val="22"/>
                <w:lang w:val="en-US" w:eastAsia="en-US" w:bidi="ar-SA"/>
              </w:rPr>
              <w:t>22%</w:t>
            </w:r>
          </w:p>
        </w:tc>
        <w:tc>
          <w:tcPr>
            <w:tcW w:w="1728" w:type="dxa"/>
            <w:tcBorders/>
          </w:tcPr>
          <w:p>
            <w:pPr>
              <w:pStyle w:val="Normal"/>
              <w:widowControl/>
              <w:spacing w:lineRule="auto" w:line="240" w:before="0" w:after="0"/>
              <w:jc w:val="left"/>
              <w:rPr>
                <w:rFonts w:ascii="Cambria" w:hAnsi="Cambria" w:eastAsia="ＭＳ 明朝" w:cs=""/>
                <w:kern w:val="0"/>
                <w:sz w:val="22"/>
                <w:szCs w:val="22"/>
                <w:lang w:val="en-US" w:eastAsia="en-US" w:bidi="ar-SA"/>
              </w:rPr>
            </w:pPr>
            <w:r>
              <w:rPr>
                <w:rFonts w:eastAsia="ＭＳ 明朝" w:cs=""/>
                <w:kern w:val="0"/>
                <w:sz w:val="22"/>
                <w:szCs w:val="22"/>
                <w:lang w:val="en-US" w:eastAsia="en-US" w:bidi="ar-SA"/>
              </w:rPr>
              <w:t>1.9</w:t>
            </w:r>
          </w:p>
        </w:tc>
        <w:tc>
          <w:tcPr>
            <w:tcW w:w="1728" w:type="dxa"/>
            <w:tcBorders/>
          </w:tcPr>
          <w:p>
            <w:pPr>
              <w:pStyle w:val="Normal"/>
              <w:widowControl/>
              <w:spacing w:lineRule="auto" w:line="240" w:before="0" w:after="0"/>
              <w:jc w:val="left"/>
              <w:rPr>
                <w:rFonts w:ascii="Cambria" w:hAnsi="Cambria" w:eastAsia="ＭＳ 明朝" w:cs=""/>
                <w:kern w:val="0"/>
                <w:sz w:val="22"/>
                <w:szCs w:val="22"/>
                <w:lang w:val="en-US" w:eastAsia="en-US" w:bidi="ar-SA"/>
              </w:rPr>
            </w:pPr>
            <w:r>
              <w:rPr>
                <w:rFonts w:eastAsia="ＭＳ 明朝" w:cs=""/>
                <w:kern w:val="0"/>
                <w:sz w:val="22"/>
                <w:szCs w:val="22"/>
                <w:lang w:val="en-US" w:eastAsia="en-US" w:bidi="ar-SA"/>
              </w:rPr>
              <w:t>125,000</w:t>
            </w:r>
          </w:p>
        </w:tc>
        <w:tc>
          <w:tcPr>
            <w:tcW w:w="1728" w:type="dxa"/>
            <w:tcBorders/>
          </w:tcPr>
          <w:p>
            <w:pPr>
              <w:pStyle w:val="Normal"/>
              <w:widowControl/>
              <w:spacing w:lineRule="auto" w:line="240" w:before="0" w:after="0"/>
              <w:jc w:val="left"/>
              <w:rPr>
                <w:rFonts w:ascii="Cambria" w:hAnsi="Cambria" w:eastAsia="ＭＳ 明朝" w:cs=""/>
                <w:kern w:val="0"/>
                <w:sz w:val="22"/>
                <w:szCs w:val="22"/>
                <w:lang w:val="en-US" w:eastAsia="en-US" w:bidi="ar-SA"/>
              </w:rPr>
            </w:pPr>
            <w:r>
              <w:rPr>
                <w:rFonts w:eastAsia="ＭＳ 明朝" w:cs=""/>
                <w:kern w:val="0"/>
                <w:sz w:val="22"/>
                <w:szCs w:val="22"/>
                <w:lang w:val="en-US" w:eastAsia="en-US" w:bidi="ar-SA"/>
              </w:rPr>
              <w:t>As modelled: steady demand, lean OPEX, carbon credits from Y2</w:t>
            </w:r>
          </w:p>
        </w:tc>
      </w:tr>
      <w:tr>
        <w:trPr/>
        <w:tc>
          <w:tcPr>
            <w:tcW w:w="1728" w:type="dxa"/>
            <w:tcBorders/>
          </w:tcPr>
          <w:p>
            <w:pPr>
              <w:pStyle w:val="Normal"/>
              <w:widowControl/>
              <w:spacing w:lineRule="auto" w:line="240" w:before="0" w:after="0"/>
              <w:jc w:val="left"/>
              <w:rPr>
                <w:rFonts w:ascii="Cambria" w:hAnsi="Cambria" w:eastAsia="ＭＳ 明朝" w:cs=""/>
                <w:kern w:val="0"/>
                <w:sz w:val="22"/>
                <w:szCs w:val="22"/>
                <w:lang w:val="en-US" w:eastAsia="en-US" w:bidi="ar-SA"/>
              </w:rPr>
            </w:pPr>
            <w:r>
              <w:rPr>
                <w:rFonts w:eastAsia="ＭＳ 明朝" w:cs=""/>
                <w:kern w:val="0"/>
                <w:sz w:val="22"/>
                <w:szCs w:val="22"/>
                <w:lang w:val="en-US" w:eastAsia="en-US" w:bidi="ar-SA"/>
              </w:rPr>
              <w:t>Upside</w:t>
            </w:r>
          </w:p>
        </w:tc>
        <w:tc>
          <w:tcPr>
            <w:tcW w:w="1728" w:type="dxa"/>
            <w:tcBorders/>
          </w:tcPr>
          <w:p>
            <w:pPr>
              <w:pStyle w:val="Normal"/>
              <w:widowControl/>
              <w:spacing w:lineRule="auto" w:line="240" w:before="0" w:after="0"/>
              <w:jc w:val="left"/>
              <w:rPr>
                <w:rFonts w:ascii="Cambria" w:hAnsi="Cambria" w:eastAsia="ＭＳ 明朝" w:cs=""/>
                <w:kern w:val="0"/>
                <w:sz w:val="22"/>
                <w:szCs w:val="22"/>
                <w:lang w:val="en-US" w:eastAsia="en-US" w:bidi="ar-SA"/>
              </w:rPr>
            </w:pPr>
            <w:r>
              <w:rPr>
                <w:rFonts w:eastAsia="ＭＳ 明朝" w:cs=""/>
                <w:kern w:val="0"/>
                <w:sz w:val="22"/>
                <w:szCs w:val="22"/>
                <w:lang w:val="en-US" w:eastAsia="en-US" w:bidi="ar-SA"/>
              </w:rPr>
              <w:t>28%</w:t>
            </w:r>
          </w:p>
        </w:tc>
        <w:tc>
          <w:tcPr>
            <w:tcW w:w="1728" w:type="dxa"/>
            <w:tcBorders/>
          </w:tcPr>
          <w:p>
            <w:pPr>
              <w:pStyle w:val="Normal"/>
              <w:widowControl/>
              <w:spacing w:lineRule="auto" w:line="240" w:before="0" w:after="0"/>
              <w:jc w:val="left"/>
              <w:rPr>
                <w:rFonts w:ascii="Cambria" w:hAnsi="Cambria" w:eastAsia="ＭＳ 明朝" w:cs=""/>
                <w:kern w:val="0"/>
                <w:sz w:val="22"/>
                <w:szCs w:val="22"/>
                <w:lang w:val="en-US" w:eastAsia="en-US" w:bidi="ar-SA"/>
              </w:rPr>
            </w:pPr>
            <w:r>
              <w:rPr>
                <w:rFonts w:eastAsia="ＭＳ 明朝" w:cs=""/>
                <w:kern w:val="0"/>
                <w:sz w:val="22"/>
                <w:szCs w:val="22"/>
                <w:lang w:val="en-US" w:eastAsia="en-US" w:bidi="ar-SA"/>
              </w:rPr>
              <w:t>1.5</w:t>
            </w:r>
          </w:p>
        </w:tc>
        <w:tc>
          <w:tcPr>
            <w:tcW w:w="1728" w:type="dxa"/>
            <w:tcBorders/>
          </w:tcPr>
          <w:p>
            <w:pPr>
              <w:pStyle w:val="Normal"/>
              <w:widowControl/>
              <w:spacing w:lineRule="auto" w:line="240" w:before="0" w:after="0"/>
              <w:jc w:val="left"/>
              <w:rPr>
                <w:rFonts w:ascii="Cambria" w:hAnsi="Cambria" w:eastAsia="ＭＳ 明朝" w:cs=""/>
                <w:kern w:val="0"/>
                <w:sz w:val="22"/>
                <w:szCs w:val="22"/>
                <w:lang w:val="en-US" w:eastAsia="en-US" w:bidi="ar-SA"/>
              </w:rPr>
            </w:pPr>
            <w:r>
              <w:rPr>
                <w:rFonts w:eastAsia="ＭＳ 明朝" w:cs=""/>
                <w:kern w:val="0"/>
                <w:sz w:val="22"/>
                <w:szCs w:val="22"/>
                <w:lang w:val="en-US" w:eastAsia="en-US" w:bidi="ar-SA"/>
              </w:rPr>
              <w:t>210,000</w:t>
            </w:r>
          </w:p>
        </w:tc>
        <w:tc>
          <w:tcPr>
            <w:tcW w:w="1728" w:type="dxa"/>
            <w:tcBorders/>
          </w:tcPr>
          <w:p>
            <w:pPr>
              <w:pStyle w:val="Normal"/>
              <w:widowControl/>
              <w:spacing w:lineRule="auto" w:line="240" w:before="0" w:after="0"/>
              <w:jc w:val="left"/>
              <w:rPr>
                <w:rFonts w:ascii="Cambria" w:hAnsi="Cambria" w:eastAsia="ＭＳ 明朝" w:cs=""/>
                <w:kern w:val="0"/>
                <w:sz w:val="22"/>
                <w:szCs w:val="22"/>
                <w:lang w:val="en-US" w:eastAsia="en-US" w:bidi="ar-SA"/>
              </w:rPr>
            </w:pPr>
            <w:r>
              <w:rPr>
                <w:rFonts w:eastAsia="ＭＳ 明朝" w:cs=""/>
                <w:kern w:val="0"/>
                <w:sz w:val="22"/>
                <w:szCs w:val="22"/>
                <w:lang w:val="en-US" w:eastAsia="en-US" w:bidi="ar-SA"/>
              </w:rPr>
              <w:t>Faster demand, premium pricing, earlier scaling of workshops/oils</w:t>
            </w:r>
          </w:p>
        </w:tc>
      </w:tr>
    </w:tbl>
    <w:p>
      <w:pPr>
        <w:pStyle w:val="Normal"/>
        <w:rPr/>
      </w:pPr>
      <w:r>
        <w:rPr/>
        <w:t>Key View: Returns remain attractive across all cases. Even in downside, IRR &gt;15% with positive NPV; upside demonstrates scalable potential and rapid payback.</w:t>
      </w:r>
    </w:p>
    <w:p>
      <w:pPr>
        <w:pStyle w:val="Normal"/>
        <w:rPr/>
      </w:pPr>
      <w:r>
        <w:rPr/>
        <w:t>Investor Logic</w:t>
      </w:r>
    </w:p>
    <w:p>
      <w:pPr>
        <w:pStyle w:val="Normal"/>
        <w:rPr/>
      </w:pPr>
      <w:r>
        <w:rPr/>
        <w:t>Downside: Still investable — IRR above many benchmarks, NPV positive.</w:t>
      </w:r>
    </w:p>
    <w:p>
      <w:pPr>
        <w:pStyle w:val="Normal"/>
        <w:rPr/>
      </w:pPr>
      <w:r>
        <w:rPr/>
        <w:t>Base Case: Balanced, credible, aligned with Terra Vita’s governance story.</w:t>
      </w:r>
    </w:p>
    <w:p>
      <w:pPr>
        <w:pStyle w:val="Normal"/>
        <w:rPr/>
      </w:pPr>
      <w:r>
        <w:rPr/>
        <w:t>Upside: Shows scalability and premium positioning potential.</w:t>
      </w:r>
    </w:p>
    <w:p>
      <w:pPr>
        <w:pStyle w:val="Normal"/>
        <w:rPr/>
      </w:pPr>
      <w:r>
        <w:rPr/>
        <w:t>Visuals</w:t>
      </w:r>
    </w:p>
    <w:p>
      <w:pPr>
        <w:pStyle w:val="Normal"/>
        <w:rPr/>
      </w:pPr>
      <w:r>
        <w:rPr/>
        <w:drawing>
          <wp:inline distT="0" distB="0" distL="0" distR="0">
            <wp:extent cx="4572000" cy="2743200"/>
            <wp:effectExtent l="0" t="0" r="0" b="0"/>
            <wp:docPr id="22" name="Picture 1 Kopiëren 2"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1 Kopiëren 2" descr=""/>
                    <pic:cNvPicPr>
                      <a:picLocks noChangeAspect="1" noChangeArrowheads="1"/>
                    </pic:cNvPicPr>
                  </pic:nvPicPr>
                  <pic:blipFill>
                    <a:blip r:embed="rId23"/>
                    <a:stretch>
                      <a:fillRect/>
                    </a:stretch>
                  </pic:blipFill>
                  <pic:spPr bwMode="auto">
                    <a:xfrm>
                      <a:off x="0" y="0"/>
                      <a:ext cx="4572000" cy="2743200"/>
                    </a:xfrm>
                    <a:prstGeom prst="rect">
                      <a:avLst/>
                    </a:prstGeom>
                  </pic:spPr>
                </pic:pic>
              </a:graphicData>
            </a:graphic>
          </wp:inline>
        </w:drawing>
      </w:r>
    </w:p>
    <w:p>
      <w:pPr>
        <w:pStyle w:val="Normal"/>
        <w:rPr/>
      </w:pPr>
      <w:r>
        <w:rPr/>
        <w:drawing>
          <wp:inline distT="0" distB="0" distL="0" distR="0">
            <wp:extent cx="4572000" cy="2743200"/>
            <wp:effectExtent l="0" t="0" r="0" b="0"/>
            <wp:docPr id="23" name="Picture 2 Kopiëren 2"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 Kopiëren 2" descr=""/>
                    <pic:cNvPicPr>
                      <a:picLocks noChangeAspect="1" noChangeArrowheads="1"/>
                    </pic:cNvPicPr>
                  </pic:nvPicPr>
                  <pic:blipFill>
                    <a:blip r:embed="rId24"/>
                    <a:stretch>
                      <a:fillRect/>
                    </a:stretch>
                  </pic:blipFill>
                  <pic:spPr bwMode="auto">
                    <a:xfrm>
                      <a:off x="0" y="0"/>
                      <a:ext cx="4572000" cy="2743200"/>
                    </a:xfrm>
                    <a:prstGeom prst="rect">
                      <a:avLst/>
                    </a:prstGeom>
                  </pic:spPr>
                </pic:pic>
              </a:graphicData>
            </a:graphic>
          </wp:inline>
        </w:drawing>
      </w:r>
    </w:p>
    <w:p>
      <w:pPr>
        <w:pStyle w:val="Normal"/>
        <w:rPr/>
      </w:pPr>
      <w:r>
        <w:rPr/>
        <w:drawing>
          <wp:inline distT="0" distB="0" distL="0" distR="0">
            <wp:extent cx="4572000" cy="2743200"/>
            <wp:effectExtent l="0" t="0" r="0" b="0"/>
            <wp:docPr id="24" name="Picture 3 Kopiëren 2"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3 Kopiëren 2" descr=""/>
                    <pic:cNvPicPr>
                      <a:picLocks noChangeAspect="1" noChangeArrowheads="1"/>
                    </pic:cNvPicPr>
                  </pic:nvPicPr>
                  <pic:blipFill>
                    <a:blip r:embed="rId25"/>
                    <a:stretch>
                      <a:fillRect/>
                    </a:stretch>
                  </pic:blipFill>
                  <pic:spPr bwMode="auto">
                    <a:xfrm>
                      <a:off x="0" y="0"/>
                      <a:ext cx="4572000" cy="2743200"/>
                    </a:xfrm>
                    <a:prstGeom prst="rect">
                      <a:avLst/>
                    </a:prstGeom>
                  </pic:spPr>
                </pic:pic>
              </a:graphicData>
            </a:graphic>
          </wp:inline>
        </w:drawing>
      </w:r>
    </w:p>
    <w:p>
      <w:pPr>
        <w:pStyle w:val="Normal"/>
        <w:rPr/>
      </w:pPr>
      <w:r>
        <w:rPr/>
      </w:r>
      <w:r>
        <w:br w:type="page"/>
      </w:r>
    </w:p>
    <w:p>
      <w:pPr>
        <w:pStyle w:val="Normal"/>
        <w:spacing w:before="0" w:after="200"/>
        <w:jc w:val="center"/>
        <w:rPr/>
      </w:pPr>
      <w:r>
        <w:rPr>
          <w:b/>
          <w:sz w:val="28"/>
        </w:rPr>
        <w:t xml:space="preserve">🌍 </w:t>
      </w:r>
      <w:r>
        <w:rPr>
          <w:b/>
          <w:sz w:val="28"/>
        </w:rPr>
        <w:t>Annex C – ESG &amp; SDG Impact</w:t>
      </w:r>
    </w:p>
    <w:p>
      <w:pPr>
        <w:pStyle w:val="Normal"/>
        <w:rPr/>
      </w:pPr>
      <w:r>
        <w:rPr/>
        <w:t>Methodology: ESG metrics are modelled estimates, mapped to UN Sustainable Development Goals (SDGs). Validation will occur post</w:t>
        <w:noBreakHyphen/>
        <w:t>launch through independent monitoring and reporting.</w:t>
      </w:r>
    </w:p>
    <w:p>
      <w:pPr>
        <w:pStyle w:val="Normal"/>
        <w:rPr/>
      </w:pPr>
      <w:r>
        <w:rPr/>
        <w:t>ESG &amp; SDG Alignment Table</w:t>
      </w:r>
    </w:p>
    <w:tbl>
      <w:tblPr>
        <w:tblStyle w:val="TableGrid"/>
        <w:tblW w:w="8640" w:type="dxa"/>
        <w:jc w:val="left"/>
        <w:tblInd w:w="0" w:type="dxa"/>
        <w:tblLayout w:type="fixed"/>
        <w:tblCellMar>
          <w:top w:w="0" w:type="dxa"/>
          <w:left w:w="108" w:type="dxa"/>
          <w:bottom w:w="0" w:type="dxa"/>
          <w:right w:w="108" w:type="dxa"/>
        </w:tblCellMar>
        <w:tblLook w:firstRow="1" w:noVBand="1" w:lastRow="0" w:firstColumn="1" w:lastColumn="0" w:noHBand="0" w:val="04a0"/>
      </w:tblPr>
      <w:tblGrid>
        <w:gridCol w:w="1728"/>
        <w:gridCol w:w="1728"/>
        <w:gridCol w:w="1728"/>
        <w:gridCol w:w="1728"/>
        <w:gridCol w:w="1728"/>
      </w:tblGrid>
      <w:tr>
        <w:trPr/>
        <w:tc>
          <w:tcPr>
            <w:tcW w:w="1728" w:type="dxa"/>
            <w:tcBorders/>
          </w:tcPr>
          <w:p>
            <w:pPr>
              <w:pStyle w:val="Normal"/>
              <w:widowControl/>
              <w:spacing w:lineRule="auto" w:line="240" w:before="0" w:after="0"/>
              <w:jc w:val="left"/>
              <w:rPr>
                <w:rFonts w:ascii="Cambria" w:hAnsi="Cambria" w:eastAsia="ＭＳ 明朝" w:cs=""/>
                <w:kern w:val="0"/>
                <w:sz w:val="22"/>
                <w:szCs w:val="22"/>
                <w:lang w:val="en-US" w:eastAsia="en-US" w:bidi="ar-SA"/>
              </w:rPr>
            </w:pPr>
            <w:r>
              <w:rPr>
                <w:rFonts w:eastAsia="ＭＳ 明朝" w:cs=""/>
                <w:kern w:val="0"/>
                <w:sz w:val="22"/>
                <w:szCs w:val="22"/>
                <w:lang w:val="en-US" w:eastAsia="en-US" w:bidi="ar-SA"/>
              </w:rPr>
              <w:t>Metric</w:t>
            </w:r>
          </w:p>
        </w:tc>
        <w:tc>
          <w:tcPr>
            <w:tcW w:w="1728" w:type="dxa"/>
            <w:tcBorders/>
          </w:tcPr>
          <w:p>
            <w:pPr>
              <w:pStyle w:val="Normal"/>
              <w:widowControl/>
              <w:spacing w:lineRule="auto" w:line="240" w:before="0" w:after="0"/>
              <w:jc w:val="left"/>
              <w:rPr>
                <w:rFonts w:ascii="Cambria" w:hAnsi="Cambria" w:eastAsia="ＭＳ 明朝" w:cs=""/>
                <w:kern w:val="0"/>
                <w:sz w:val="22"/>
                <w:szCs w:val="22"/>
                <w:lang w:val="en-US" w:eastAsia="en-US" w:bidi="ar-SA"/>
              </w:rPr>
            </w:pPr>
            <w:r>
              <w:rPr>
                <w:rFonts w:eastAsia="ＭＳ 明朝" w:cs=""/>
                <w:kern w:val="0"/>
                <w:sz w:val="22"/>
                <w:szCs w:val="22"/>
                <w:lang w:val="en-US" w:eastAsia="en-US" w:bidi="ar-SA"/>
              </w:rPr>
              <w:t>Value (Modelled)</w:t>
            </w:r>
          </w:p>
        </w:tc>
        <w:tc>
          <w:tcPr>
            <w:tcW w:w="1728" w:type="dxa"/>
            <w:tcBorders/>
          </w:tcPr>
          <w:p>
            <w:pPr>
              <w:pStyle w:val="Normal"/>
              <w:widowControl/>
              <w:spacing w:lineRule="auto" w:line="240" w:before="0" w:after="0"/>
              <w:jc w:val="left"/>
              <w:rPr>
                <w:rFonts w:ascii="Cambria" w:hAnsi="Cambria" w:eastAsia="ＭＳ 明朝" w:cs=""/>
                <w:kern w:val="0"/>
                <w:sz w:val="22"/>
                <w:szCs w:val="22"/>
                <w:lang w:val="en-US" w:eastAsia="en-US" w:bidi="ar-SA"/>
              </w:rPr>
            </w:pPr>
            <w:r>
              <w:rPr>
                <w:rFonts w:eastAsia="ＭＳ 明朝" w:cs=""/>
                <w:kern w:val="0"/>
                <w:sz w:val="22"/>
                <w:szCs w:val="22"/>
                <w:lang w:val="en-US" w:eastAsia="en-US" w:bidi="ar-SA"/>
              </w:rPr>
              <w:t>Linked SDG</w:t>
            </w:r>
          </w:p>
        </w:tc>
        <w:tc>
          <w:tcPr>
            <w:tcW w:w="1728" w:type="dxa"/>
            <w:tcBorders/>
          </w:tcPr>
          <w:p>
            <w:pPr>
              <w:pStyle w:val="Normal"/>
              <w:widowControl/>
              <w:spacing w:lineRule="auto" w:line="240" w:before="0" w:after="0"/>
              <w:jc w:val="left"/>
              <w:rPr>
                <w:rFonts w:ascii="Cambria" w:hAnsi="Cambria" w:eastAsia="ＭＳ 明朝" w:cs=""/>
                <w:kern w:val="0"/>
                <w:sz w:val="22"/>
                <w:szCs w:val="22"/>
                <w:lang w:val="en-US" w:eastAsia="en-US" w:bidi="ar-SA"/>
              </w:rPr>
            </w:pPr>
            <w:r>
              <w:rPr>
                <w:rFonts w:eastAsia="ＭＳ 明朝" w:cs=""/>
                <w:kern w:val="0"/>
                <w:sz w:val="22"/>
                <w:szCs w:val="22"/>
                <w:lang w:val="en-US" w:eastAsia="en-US" w:bidi="ar-SA"/>
              </w:rPr>
              <w:t>SDG Target Reference</w:t>
            </w:r>
          </w:p>
        </w:tc>
        <w:tc>
          <w:tcPr>
            <w:tcW w:w="1728" w:type="dxa"/>
            <w:tcBorders/>
          </w:tcPr>
          <w:p>
            <w:pPr>
              <w:pStyle w:val="Normal"/>
              <w:widowControl/>
              <w:spacing w:lineRule="auto" w:line="240" w:before="0" w:after="0"/>
              <w:jc w:val="left"/>
              <w:rPr>
                <w:rFonts w:ascii="Cambria" w:hAnsi="Cambria" w:eastAsia="ＭＳ 明朝" w:cs=""/>
                <w:kern w:val="0"/>
                <w:sz w:val="22"/>
                <w:szCs w:val="22"/>
                <w:lang w:val="en-US" w:eastAsia="en-US" w:bidi="ar-SA"/>
              </w:rPr>
            </w:pPr>
            <w:r>
              <w:rPr>
                <w:rFonts w:eastAsia="ＭＳ 明朝" w:cs=""/>
                <w:kern w:val="0"/>
                <w:sz w:val="22"/>
                <w:szCs w:val="22"/>
                <w:lang w:val="en-US" w:eastAsia="en-US" w:bidi="ar-SA"/>
              </w:rPr>
              <w:t>Measurement Method (Pre</w:t>
              <w:noBreakHyphen/>
              <w:t>Launch)</w:t>
            </w:r>
          </w:p>
        </w:tc>
      </w:tr>
      <w:tr>
        <w:trPr/>
        <w:tc>
          <w:tcPr>
            <w:tcW w:w="1728" w:type="dxa"/>
            <w:tcBorders/>
          </w:tcPr>
          <w:p>
            <w:pPr>
              <w:pStyle w:val="Normal"/>
              <w:widowControl/>
              <w:spacing w:lineRule="auto" w:line="240" w:before="0" w:after="0"/>
              <w:jc w:val="left"/>
              <w:rPr>
                <w:rFonts w:ascii="Cambria" w:hAnsi="Cambria" w:eastAsia="ＭＳ 明朝" w:cs=""/>
                <w:kern w:val="0"/>
                <w:sz w:val="22"/>
                <w:szCs w:val="22"/>
                <w:lang w:val="en-US" w:eastAsia="en-US" w:bidi="ar-SA"/>
              </w:rPr>
            </w:pPr>
            <w:r>
              <w:rPr>
                <w:rFonts w:eastAsia="ＭＳ 明朝" w:cs=""/>
                <w:kern w:val="0"/>
                <w:sz w:val="22"/>
                <w:szCs w:val="22"/>
                <w:lang w:val="en-US" w:eastAsia="en-US" w:bidi="ar-SA"/>
              </w:rPr>
              <w:t>Jobs Created</w:t>
            </w:r>
          </w:p>
        </w:tc>
        <w:tc>
          <w:tcPr>
            <w:tcW w:w="1728" w:type="dxa"/>
            <w:tcBorders/>
          </w:tcPr>
          <w:p>
            <w:pPr>
              <w:pStyle w:val="Normal"/>
              <w:widowControl/>
              <w:spacing w:lineRule="auto" w:line="240" w:before="0" w:after="0"/>
              <w:jc w:val="left"/>
              <w:rPr>
                <w:rFonts w:ascii="Cambria" w:hAnsi="Cambria" w:eastAsia="ＭＳ 明朝" w:cs=""/>
                <w:kern w:val="0"/>
                <w:sz w:val="22"/>
                <w:szCs w:val="22"/>
                <w:lang w:val="en-US" w:eastAsia="en-US" w:bidi="ar-SA"/>
              </w:rPr>
            </w:pPr>
            <w:r>
              <w:rPr>
                <w:rFonts w:eastAsia="ＭＳ 明朝" w:cs=""/>
                <w:kern w:val="0"/>
                <w:sz w:val="22"/>
                <w:szCs w:val="22"/>
                <w:lang w:val="en-US" w:eastAsia="en-US" w:bidi="ar-SA"/>
              </w:rPr>
              <w:t>10 (Y1) → 20 (Y5)</w:t>
            </w:r>
          </w:p>
        </w:tc>
        <w:tc>
          <w:tcPr>
            <w:tcW w:w="1728" w:type="dxa"/>
            <w:tcBorders/>
          </w:tcPr>
          <w:p>
            <w:pPr>
              <w:pStyle w:val="Normal"/>
              <w:widowControl/>
              <w:spacing w:lineRule="auto" w:line="240" w:before="0" w:after="0"/>
              <w:jc w:val="left"/>
              <w:rPr>
                <w:rFonts w:ascii="Cambria" w:hAnsi="Cambria" w:eastAsia="ＭＳ 明朝" w:cs=""/>
                <w:kern w:val="0"/>
                <w:sz w:val="22"/>
                <w:szCs w:val="22"/>
                <w:lang w:val="en-US" w:eastAsia="en-US" w:bidi="ar-SA"/>
              </w:rPr>
            </w:pPr>
            <w:r>
              <w:rPr>
                <w:rFonts w:eastAsia="ＭＳ 明朝" w:cs=""/>
                <w:kern w:val="0"/>
                <w:sz w:val="22"/>
                <w:szCs w:val="22"/>
                <w:lang w:val="en-US" w:eastAsia="en-US" w:bidi="ar-SA"/>
              </w:rPr>
              <w:t>SDG 8 – Decent Work &amp; Economic Growth</w:t>
            </w:r>
          </w:p>
        </w:tc>
        <w:tc>
          <w:tcPr>
            <w:tcW w:w="1728" w:type="dxa"/>
            <w:tcBorders/>
          </w:tcPr>
          <w:p>
            <w:pPr>
              <w:pStyle w:val="Normal"/>
              <w:widowControl/>
              <w:spacing w:lineRule="auto" w:line="240" w:before="0" w:after="0"/>
              <w:jc w:val="left"/>
              <w:rPr>
                <w:rFonts w:ascii="Cambria" w:hAnsi="Cambria" w:eastAsia="ＭＳ 明朝" w:cs=""/>
                <w:kern w:val="0"/>
                <w:sz w:val="22"/>
                <w:szCs w:val="22"/>
                <w:lang w:val="en-US" w:eastAsia="en-US" w:bidi="ar-SA"/>
              </w:rPr>
            </w:pPr>
            <w:r>
              <w:rPr>
                <w:rFonts w:eastAsia="ＭＳ 明朝" w:cs=""/>
                <w:kern w:val="0"/>
                <w:sz w:val="22"/>
                <w:szCs w:val="22"/>
                <w:lang w:val="en-US" w:eastAsia="en-US" w:bidi="ar-SA"/>
              </w:rPr>
              <w:t>8.5: Full employment &amp; decent work</w:t>
            </w:r>
          </w:p>
        </w:tc>
        <w:tc>
          <w:tcPr>
            <w:tcW w:w="1728" w:type="dxa"/>
            <w:tcBorders/>
          </w:tcPr>
          <w:p>
            <w:pPr>
              <w:pStyle w:val="Normal"/>
              <w:widowControl/>
              <w:spacing w:lineRule="auto" w:line="240" w:before="0" w:after="0"/>
              <w:jc w:val="left"/>
              <w:rPr>
                <w:rFonts w:ascii="Cambria" w:hAnsi="Cambria" w:eastAsia="ＭＳ 明朝" w:cs=""/>
                <w:kern w:val="0"/>
                <w:sz w:val="22"/>
                <w:szCs w:val="22"/>
                <w:lang w:val="en-US" w:eastAsia="en-US" w:bidi="ar-SA"/>
              </w:rPr>
            </w:pPr>
            <w:r>
              <w:rPr>
                <w:rFonts w:eastAsia="ＭＳ 明朝" w:cs=""/>
                <w:kern w:val="0"/>
                <w:sz w:val="22"/>
                <w:szCs w:val="22"/>
                <w:lang w:val="en-US" w:eastAsia="en-US" w:bidi="ar-SA"/>
              </w:rPr>
              <w:t>Modelled staffing plan</w:t>
            </w:r>
          </w:p>
        </w:tc>
      </w:tr>
      <w:tr>
        <w:trPr/>
        <w:tc>
          <w:tcPr>
            <w:tcW w:w="1728" w:type="dxa"/>
            <w:tcBorders/>
          </w:tcPr>
          <w:p>
            <w:pPr>
              <w:pStyle w:val="Normal"/>
              <w:widowControl/>
              <w:spacing w:lineRule="auto" w:line="240" w:before="0" w:after="0"/>
              <w:jc w:val="left"/>
              <w:rPr>
                <w:rFonts w:ascii="Cambria" w:hAnsi="Cambria" w:eastAsia="ＭＳ 明朝" w:cs=""/>
                <w:kern w:val="0"/>
                <w:sz w:val="22"/>
                <w:szCs w:val="22"/>
                <w:lang w:val="en-US" w:eastAsia="en-US" w:bidi="ar-SA"/>
              </w:rPr>
            </w:pPr>
            <w:r>
              <w:rPr>
                <w:rFonts w:eastAsia="ＭＳ 明朝" w:cs=""/>
                <w:kern w:val="0"/>
                <w:sz w:val="22"/>
                <w:szCs w:val="22"/>
                <w:lang w:val="en-US" w:eastAsia="en-US" w:bidi="ar-SA"/>
              </w:rPr>
              <w:t>Land Restored</w:t>
            </w:r>
          </w:p>
        </w:tc>
        <w:tc>
          <w:tcPr>
            <w:tcW w:w="1728" w:type="dxa"/>
            <w:tcBorders/>
          </w:tcPr>
          <w:p>
            <w:pPr>
              <w:pStyle w:val="Normal"/>
              <w:widowControl/>
              <w:spacing w:lineRule="auto" w:line="240" w:before="0" w:after="0"/>
              <w:jc w:val="left"/>
              <w:rPr>
                <w:rFonts w:ascii="Cambria" w:hAnsi="Cambria" w:eastAsia="ＭＳ 明朝" w:cs=""/>
                <w:kern w:val="0"/>
                <w:sz w:val="22"/>
                <w:szCs w:val="22"/>
                <w:lang w:val="en-US" w:eastAsia="en-US" w:bidi="ar-SA"/>
              </w:rPr>
            </w:pPr>
            <w:r>
              <w:rPr>
                <w:rFonts w:eastAsia="ＭＳ 明朝" w:cs=""/>
                <w:kern w:val="0"/>
                <w:sz w:val="22"/>
                <w:szCs w:val="22"/>
                <w:lang w:val="en-US" w:eastAsia="en-US" w:bidi="ar-SA"/>
              </w:rPr>
              <w:t>2 ha (Y1) → 5 ha (Y5)</w:t>
            </w:r>
          </w:p>
        </w:tc>
        <w:tc>
          <w:tcPr>
            <w:tcW w:w="1728" w:type="dxa"/>
            <w:tcBorders/>
          </w:tcPr>
          <w:p>
            <w:pPr>
              <w:pStyle w:val="Normal"/>
              <w:widowControl/>
              <w:spacing w:lineRule="auto" w:line="240" w:before="0" w:after="0"/>
              <w:jc w:val="left"/>
              <w:rPr>
                <w:rFonts w:ascii="Cambria" w:hAnsi="Cambria" w:eastAsia="ＭＳ 明朝" w:cs=""/>
                <w:kern w:val="0"/>
                <w:sz w:val="22"/>
                <w:szCs w:val="22"/>
                <w:lang w:val="en-US" w:eastAsia="en-US" w:bidi="ar-SA"/>
              </w:rPr>
            </w:pPr>
            <w:r>
              <w:rPr>
                <w:rFonts w:eastAsia="ＭＳ 明朝" w:cs=""/>
                <w:kern w:val="0"/>
                <w:sz w:val="22"/>
                <w:szCs w:val="22"/>
                <w:lang w:val="en-US" w:eastAsia="en-US" w:bidi="ar-SA"/>
              </w:rPr>
              <w:t>SDG 15 – Life on Land</w:t>
            </w:r>
          </w:p>
        </w:tc>
        <w:tc>
          <w:tcPr>
            <w:tcW w:w="1728" w:type="dxa"/>
            <w:tcBorders/>
          </w:tcPr>
          <w:p>
            <w:pPr>
              <w:pStyle w:val="Normal"/>
              <w:widowControl/>
              <w:spacing w:lineRule="auto" w:line="240" w:before="0" w:after="0"/>
              <w:jc w:val="left"/>
              <w:rPr>
                <w:rFonts w:ascii="Cambria" w:hAnsi="Cambria" w:eastAsia="ＭＳ 明朝" w:cs=""/>
                <w:kern w:val="0"/>
                <w:sz w:val="22"/>
                <w:szCs w:val="22"/>
                <w:lang w:val="en-US" w:eastAsia="en-US" w:bidi="ar-SA"/>
              </w:rPr>
            </w:pPr>
            <w:r>
              <w:rPr>
                <w:rFonts w:eastAsia="ＭＳ 明朝" w:cs=""/>
                <w:kern w:val="0"/>
                <w:sz w:val="22"/>
                <w:szCs w:val="22"/>
                <w:lang w:val="en-US" w:eastAsia="en-US" w:bidi="ar-SA"/>
              </w:rPr>
              <w:t>15.3: Combat desertification, restore degraded land</w:t>
            </w:r>
          </w:p>
        </w:tc>
        <w:tc>
          <w:tcPr>
            <w:tcW w:w="1728" w:type="dxa"/>
            <w:tcBorders/>
          </w:tcPr>
          <w:p>
            <w:pPr>
              <w:pStyle w:val="Normal"/>
              <w:widowControl/>
              <w:spacing w:lineRule="auto" w:line="240" w:before="0" w:after="0"/>
              <w:jc w:val="left"/>
              <w:rPr>
                <w:rFonts w:ascii="Cambria" w:hAnsi="Cambria" w:eastAsia="ＭＳ 明朝" w:cs=""/>
                <w:kern w:val="0"/>
                <w:sz w:val="22"/>
                <w:szCs w:val="22"/>
                <w:lang w:val="en-US" w:eastAsia="en-US" w:bidi="ar-SA"/>
              </w:rPr>
            </w:pPr>
            <w:r>
              <w:rPr>
                <w:rFonts w:eastAsia="ＭＳ 明朝" w:cs=""/>
                <w:kern w:val="0"/>
                <w:sz w:val="22"/>
                <w:szCs w:val="22"/>
                <w:lang w:val="en-US" w:eastAsia="en-US" w:bidi="ar-SA"/>
              </w:rPr>
              <w:t>Land rehabilitation plan</w:t>
            </w:r>
          </w:p>
        </w:tc>
      </w:tr>
      <w:tr>
        <w:trPr/>
        <w:tc>
          <w:tcPr>
            <w:tcW w:w="1728" w:type="dxa"/>
            <w:tcBorders/>
          </w:tcPr>
          <w:p>
            <w:pPr>
              <w:pStyle w:val="Normal"/>
              <w:widowControl/>
              <w:spacing w:lineRule="auto" w:line="240" w:before="0" w:after="0"/>
              <w:jc w:val="left"/>
              <w:rPr>
                <w:rFonts w:ascii="Cambria" w:hAnsi="Cambria" w:eastAsia="ＭＳ 明朝" w:cs=""/>
                <w:kern w:val="0"/>
                <w:sz w:val="22"/>
                <w:szCs w:val="22"/>
                <w:lang w:val="en-US" w:eastAsia="en-US" w:bidi="ar-SA"/>
              </w:rPr>
            </w:pPr>
            <w:r>
              <w:rPr>
                <w:rFonts w:eastAsia="ＭＳ 明朝" w:cs=""/>
                <w:kern w:val="0"/>
                <w:sz w:val="22"/>
                <w:szCs w:val="22"/>
                <w:lang w:val="en-US" w:eastAsia="en-US" w:bidi="ar-SA"/>
              </w:rPr>
              <w:t>Carbon Footprint</w:t>
            </w:r>
          </w:p>
        </w:tc>
        <w:tc>
          <w:tcPr>
            <w:tcW w:w="1728" w:type="dxa"/>
            <w:tcBorders/>
          </w:tcPr>
          <w:p>
            <w:pPr>
              <w:pStyle w:val="Normal"/>
              <w:widowControl/>
              <w:spacing w:lineRule="auto" w:line="240" w:before="0" w:after="0"/>
              <w:jc w:val="left"/>
              <w:rPr>
                <w:rFonts w:ascii="Cambria" w:hAnsi="Cambria" w:eastAsia="ＭＳ 明朝" w:cs=""/>
                <w:kern w:val="0"/>
                <w:sz w:val="22"/>
                <w:szCs w:val="22"/>
                <w:lang w:val="en-US" w:eastAsia="en-US" w:bidi="ar-SA"/>
              </w:rPr>
            </w:pPr>
            <w:r>
              <w:rPr>
                <w:rFonts w:eastAsia="ＭＳ 明朝" w:cs=""/>
                <w:kern w:val="0"/>
                <w:sz w:val="22"/>
                <w:szCs w:val="22"/>
                <w:lang w:val="en-US" w:eastAsia="en-US" w:bidi="ar-SA"/>
              </w:rPr>
              <w:t>Carbon Negative by Y2</w:t>
            </w:r>
          </w:p>
        </w:tc>
        <w:tc>
          <w:tcPr>
            <w:tcW w:w="1728" w:type="dxa"/>
            <w:tcBorders/>
          </w:tcPr>
          <w:p>
            <w:pPr>
              <w:pStyle w:val="Normal"/>
              <w:widowControl/>
              <w:spacing w:lineRule="auto" w:line="240" w:before="0" w:after="0"/>
              <w:jc w:val="left"/>
              <w:rPr>
                <w:rFonts w:ascii="Cambria" w:hAnsi="Cambria" w:eastAsia="ＭＳ 明朝" w:cs=""/>
                <w:kern w:val="0"/>
                <w:sz w:val="22"/>
                <w:szCs w:val="22"/>
                <w:lang w:val="en-US" w:eastAsia="en-US" w:bidi="ar-SA"/>
              </w:rPr>
            </w:pPr>
            <w:r>
              <w:rPr>
                <w:rFonts w:eastAsia="ＭＳ 明朝" w:cs=""/>
                <w:kern w:val="0"/>
                <w:sz w:val="22"/>
                <w:szCs w:val="22"/>
                <w:lang w:val="en-US" w:eastAsia="en-US" w:bidi="ar-SA"/>
              </w:rPr>
              <w:t>SDG 13 – Climate Action</w:t>
            </w:r>
          </w:p>
        </w:tc>
        <w:tc>
          <w:tcPr>
            <w:tcW w:w="1728" w:type="dxa"/>
            <w:tcBorders/>
          </w:tcPr>
          <w:p>
            <w:pPr>
              <w:pStyle w:val="Normal"/>
              <w:widowControl/>
              <w:spacing w:lineRule="auto" w:line="240" w:before="0" w:after="0"/>
              <w:jc w:val="left"/>
              <w:rPr>
                <w:rFonts w:ascii="Cambria" w:hAnsi="Cambria" w:eastAsia="ＭＳ 明朝" w:cs=""/>
                <w:kern w:val="0"/>
                <w:sz w:val="22"/>
                <w:szCs w:val="22"/>
                <w:lang w:val="en-US" w:eastAsia="en-US" w:bidi="ar-SA"/>
              </w:rPr>
            </w:pPr>
            <w:r>
              <w:rPr>
                <w:rFonts w:eastAsia="ＭＳ 明朝" w:cs=""/>
                <w:kern w:val="0"/>
                <w:sz w:val="22"/>
                <w:szCs w:val="22"/>
                <w:lang w:val="en-US" w:eastAsia="en-US" w:bidi="ar-SA"/>
              </w:rPr>
              <w:t>13.2: Integrate climate measures into policies</w:t>
            </w:r>
          </w:p>
        </w:tc>
        <w:tc>
          <w:tcPr>
            <w:tcW w:w="1728" w:type="dxa"/>
            <w:tcBorders/>
          </w:tcPr>
          <w:p>
            <w:pPr>
              <w:pStyle w:val="Normal"/>
              <w:widowControl/>
              <w:spacing w:lineRule="auto" w:line="240" w:before="0" w:after="0"/>
              <w:jc w:val="left"/>
              <w:rPr>
                <w:rFonts w:ascii="Cambria" w:hAnsi="Cambria" w:eastAsia="ＭＳ 明朝" w:cs=""/>
                <w:kern w:val="0"/>
                <w:sz w:val="22"/>
                <w:szCs w:val="22"/>
                <w:lang w:val="en-US" w:eastAsia="en-US" w:bidi="ar-SA"/>
              </w:rPr>
            </w:pPr>
            <w:r>
              <w:rPr>
                <w:rFonts w:eastAsia="ＭＳ 明朝" w:cs=""/>
                <w:kern w:val="0"/>
                <w:sz w:val="22"/>
                <w:szCs w:val="22"/>
                <w:lang w:val="en-US" w:eastAsia="en-US" w:bidi="ar-SA"/>
              </w:rPr>
              <w:t>Carbon offset modelling</w:t>
            </w:r>
          </w:p>
        </w:tc>
      </w:tr>
      <w:tr>
        <w:trPr/>
        <w:tc>
          <w:tcPr>
            <w:tcW w:w="1728" w:type="dxa"/>
            <w:tcBorders/>
          </w:tcPr>
          <w:p>
            <w:pPr>
              <w:pStyle w:val="Normal"/>
              <w:widowControl/>
              <w:spacing w:lineRule="auto" w:line="240" w:before="0" w:after="0"/>
              <w:jc w:val="left"/>
              <w:rPr>
                <w:rFonts w:ascii="Cambria" w:hAnsi="Cambria" w:eastAsia="ＭＳ 明朝" w:cs=""/>
                <w:kern w:val="0"/>
                <w:sz w:val="22"/>
                <w:szCs w:val="22"/>
                <w:lang w:val="en-US" w:eastAsia="en-US" w:bidi="ar-SA"/>
              </w:rPr>
            </w:pPr>
            <w:r>
              <w:rPr>
                <w:rFonts w:eastAsia="ＭＳ 明朝" w:cs=""/>
                <w:kern w:val="0"/>
                <w:sz w:val="22"/>
                <w:szCs w:val="22"/>
                <w:lang w:val="en-US" w:eastAsia="en-US" w:bidi="ar-SA"/>
              </w:rPr>
              <w:t>Community Workshops</w:t>
            </w:r>
          </w:p>
        </w:tc>
        <w:tc>
          <w:tcPr>
            <w:tcW w:w="1728" w:type="dxa"/>
            <w:tcBorders/>
          </w:tcPr>
          <w:p>
            <w:pPr>
              <w:pStyle w:val="Normal"/>
              <w:widowControl/>
              <w:spacing w:lineRule="auto" w:line="240" w:before="0" w:after="0"/>
              <w:jc w:val="left"/>
              <w:rPr>
                <w:rFonts w:ascii="Cambria" w:hAnsi="Cambria" w:eastAsia="ＭＳ 明朝" w:cs=""/>
                <w:kern w:val="0"/>
                <w:sz w:val="22"/>
                <w:szCs w:val="22"/>
                <w:lang w:val="en-US" w:eastAsia="en-US" w:bidi="ar-SA"/>
              </w:rPr>
            </w:pPr>
            <w:r>
              <w:rPr>
                <w:rFonts w:eastAsia="ＭＳ 明朝" w:cs=""/>
                <w:kern w:val="0"/>
                <w:sz w:val="22"/>
                <w:szCs w:val="22"/>
                <w:lang w:val="en-US" w:eastAsia="en-US" w:bidi="ar-SA"/>
              </w:rPr>
              <w:t>3 per year from Y2</w:t>
            </w:r>
          </w:p>
        </w:tc>
        <w:tc>
          <w:tcPr>
            <w:tcW w:w="1728" w:type="dxa"/>
            <w:tcBorders/>
          </w:tcPr>
          <w:p>
            <w:pPr>
              <w:pStyle w:val="Normal"/>
              <w:widowControl/>
              <w:spacing w:lineRule="auto" w:line="240" w:before="0" w:after="0"/>
              <w:jc w:val="left"/>
              <w:rPr>
                <w:rFonts w:ascii="Cambria" w:hAnsi="Cambria" w:eastAsia="ＭＳ 明朝" w:cs=""/>
                <w:kern w:val="0"/>
                <w:sz w:val="22"/>
                <w:szCs w:val="22"/>
                <w:lang w:val="en-US" w:eastAsia="en-US" w:bidi="ar-SA"/>
              </w:rPr>
            </w:pPr>
            <w:r>
              <w:rPr>
                <w:rFonts w:eastAsia="ＭＳ 明朝" w:cs=""/>
                <w:kern w:val="0"/>
                <w:sz w:val="22"/>
                <w:szCs w:val="22"/>
                <w:lang w:val="en-US" w:eastAsia="en-US" w:bidi="ar-SA"/>
              </w:rPr>
              <w:t>SDG 4 – Quality Education</w:t>
            </w:r>
          </w:p>
        </w:tc>
        <w:tc>
          <w:tcPr>
            <w:tcW w:w="1728" w:type="dxa"/>
            <w:tcBorders/>
          </w:tcPr>
          <w:p>
            <w:pPr>
              <w:pStyle w:val="Normal"/>
              <w:widowControl/>
              <w:spacing w:lineRule="auto" w:line="240" w:before="0" w:after="0"/>
              <w:jc w:val="left"/>
              <w:rPr>
                <w:rFonts w:ascii="Cambria" w:hAnsi="Cambria" w:eastAsia="ＭＳ 明朝" w:cs=""/>
                <w:kern w:val="0"/>
                <w:sz w:val="22"/>
                <w:szCs w:val="22"/>
                <w:lang w:val="en-US" w:eastAsia="en-US" w:bidi="ar-SA"/>
              </w:rPr>
            </w:pPr>
            <w:r>
              <w:rPr>
                <w:rFonts w:eastAsia="ＭＳ 明朝" w:cs=""/>
                <w:kern w:val="0"/>
                <w:sz w:val="22"/>
                <w:szCs w:val="22"/>
                <w:lang w:val="en-US" w:eastAsia="en-US" w:bidi="ar-SA"/>
              </w:rPr>
              <w:t>4.7: Education for sustainable development</w:t>
            </w:r>
          </w:p>
        </w:tc>
        <w:tc>
          <w:tcPr>
            <w:tcW w:w="1728" w:type="dxa"/>
            <w:tcBorders/>
          </w:tcPr>
          <w:p>
            <w:pPr>
              <w:pStyle w:val="Normal"/>
              <w:widowControl/>
              <w:spacing w:lineRule="auto" w:line="240" w:before="0" w:after="0"/>
              <w:jc w:val="left"/>
              <w:rPr>
                <w:rFonts w:ascii="Cambria" w:hAnsi="Cambria" w:eastAsia="ＭＳ 明朝" w:cs=""/>
                <w:kern w:val="0"/>
                <w:sz w:val="22"/>
                <w:szCs w:val="22"/>
                <w:lang w:val="en-US" w:eastAsia="en-US" w:bidi="ar-SA"/>
              </w:rPr>
            </w:pPr>
            <w:r>
              <w:rPr>
                <w:rFonts w:eastAsia="ＭＳ 明朝" w:cs=""/>
                <w:kern w:val="0"/>
                <w:sz w:val="22"/>
                <w:szCs w:val="22"/>
                <w:lang w:val="en-US" w:eastAsia="en-US" w:bidi="ar-SA"/>
              </w:rPr>
              <w:t>Planned program schedule</w:t>
            </w:r>
          </w:p>
        </w:tc>
      </w:tr>
      <w:tr>
        <w:trPr/>
        <w:tc>
          <w:tcPr>
            <w:tcW w:w="1728" w:type="dxa"/>
            <w:tcBorders/>
          </w:tcPr>
          <w:p>
            <w:pPr>
              <w:pStyle w:val="Normal"/>
              <w:widowControl/>
              <w:spacing w:lineRule="auto" w:line="240" w:before="0" w:after="0"/>
              <w:jc w:val="left"/>
              <w:rPr>
                <w:rFonts w:ascii="Cambria" w:hAnsi="Cambria" w:eastAsia="ＭＳ 明朝" w:cs=""/>
                <w:kern w:val="0"/>
                <w:sz w:val="22"/>
                <w:szCs w:val="22"/>
                <w:lang w:val="en-US" w:eastAsia="en-US" w:bidi="ar-SA"/>
              </w:rPr>
            </w:pPr>
            <w:r>
              <w:rPr>
                <w:rFonts w:eastAsia="ＭＳ 明朝" w:cs=""/>
                <w:kern w:val="0"/>
                <w:sz w:val="22"/>
                <w:szCs w:val="22"/>
                <w:lang w:val="en-US" w:eastAsia="en-US" w:bidi="ar-SA"/>
              </w:rPr>
              <w:t>Biodiversity Index</w:t>
            </w:r>
          </w:p>
        </w:tc>
        <w:tc>
          <w:tcPr>
            <w:tcW w:w="1728" w:type="dxa"/>
            <w:tcBorders/>
          </w:tcPr>
          <w:p>
            <w:pPr>
              <w:pStyle w:val="Normal"/>
              <w:widowControl/>
              <w:spacing w:lineRule="auto" w:line="240" w:before="0" w:after="0"/>
              <w:jc w:val="left"/>
              <w:rPr>
                <w:rFonts w:ascii="Cambria" w:hAnsi="Cambria" w:eastAsia="ＭＳ 明朝" w:cs=""/>
                <w:kern w:val="0"/>
                <w:sz w:val="22"/>
                <w:szCs w:val="22"/>
                <w:lang w:val="en-US" w:eastAsia="en-US" w:bidi="ar-SA"/>
              </w:rPr>
            </w:pPr>
            <w:r>
              <w:rPr>
                <w:rFonts w:eastAsia="ＭＳ 明朝" w:cs=""/>
                <w:kern w:val="0"/>
                <w:sz w:val="22"/>
                <w:szCs w:val="22"/>
                <w:lang w:val="en-US" w:eastAsia="en-US" w:bidi="ar-SA"/>
              </w:rPr>
              <w:t>+15% by Y5</w:t>
            </w:r>
          </w:p>
        </w:tc>
        <w:tc>
          <w:tcPr>
            <w:tcW w:w="1728" w:type="dxa"/>
            <w:tcBorders/>
          </w:tcPr>
          <w:p>
            <w:pPr>
              <w:pStyle w:val="Normal"/>
              <w:widowControl/>
              <w:spacing w:lineRule="auto" w:line="240" w:before="0" w:after="0"/>
              <w:jc w:val="left"/>
              <w:rPr>
                <w:rFonts w:ascii="Cambria" w:hAnsi="Cambria" w:eastAsia="ＭＳ 明朝" w:cs=""/>
                <w:kern w:val="0"/>
                <w:sz w:val="22"/>
                <w:szCs w:val="22"/>
                <w:lang w:val="en-US" w:eastAsia="en-US" w:bidi="ar-SA"/>
              </w:rPr>
            </w:pPr>
            <w:r>
              <w:rPr>
                <w:rFonts w:eastAsia="ＭＳ 明朝" w:cs=""/>
                <w:kern w:val="0"/>
                <w:sz w:val="22"/>
                <w:szCs w:val="22"/>
                <w:lang w:val="en-US" w:eastAsia="en-US" w:bidi="ar-SA"/>
              </w:rPr>
              <w:t>SDG 15 – Life on Land</w:t>
            </w:r>
          </w:p>
        </w:tc>
        <w:tc>
          <w:tcPr>
            <w:tcW w:w="1728" w:type="dxa"/>
            <w:tcBorders/>
          </w:tcPr>
          <w:p>
            <w:pPr>
              <w:pStyle w:val="Normal"/>
              <w:widowControl/>
              <w:spacing w:lineRule="auto" w:line="240" w:before="0" w:after="0"/>
              <w:jc w:val="left"/>
              <w:rPr>
                <w:rFonts w:ascii="Cambria" w:hAnsi="Cambria" w:eastAsia="ＭＳ 明朝" w:cs=""/>
                <w:kern w:val="0"/>
                <w:sz w:val="22"/>
                <w:szCs w:val="22"/>
                <w:lang w:val="en-US" w:eastAsia="en-US" w:bidi="ar-SA"/>
              </w:rPr>
            </w:pPr>
            <w:r>
              <w:rPr>
                <w:rFonts w:eastAsia="ＭＳ 明朝" w:cs=""/>
                <w:kern w:val="0"/>
                <w:sz w:val="22"/>
                <w:szCs w:val="22"/>
                <w:lang w:val="en-US" w:eastAsia="en-US" w:bidi="ar-SA"/>
              </w:rPr>
              <w:t>15.5: Protect biodiversity &amp; ecosystems</w:t>
            </w:r>
          </w:p>
        </w:tc>
        <w:tc>
          <w:tcPr>
            <w:tcW w:w="1728" w:type="dxa"/>
            <w:tcBorders/>
          </w:tcPr>
          <w:p>
            <w:pPr>
              <w:pStyle w:val="Normal"/>
              <w:widowControl/>
              <w:spacing w:lineRule="auto" w:line="240" w:before="0" w:after="0"/>
              <w:jc w:val="left"/>
              <w:rPr>
                <w:rFonts w:ascii="Cambria" w:hAnsi="Cambria" w:eastAsia="ＭＳ 明朝" w:cs=""/>
                <w:kern w:val="0"/>
                <w:sz w:val="22"/>
                <w:szCs w:val="22"/>
                <w:lang w:val="en-US" w:eastAsia="en-US" w:bidi="ar-SA"/>
              </w:rPr>
            </w:pPr>
            <w:r>
              <w:rPr>
                <w:rFonts w:eastAsia="ＭＳ 明朝" w:cs=""/>
                <w:kern w:val="0"/>
                <w:sz w:val="22"/>
                <w:szCs w:val="22"/>
                <w:lang w:val="en-US" w:eastAsia="en-US" w:bidi="ar-SA"/>
              </w:rPr>
              <w:t>Ecological baseline survey</w:t>
            </w:r>
          </w:p>
        </w:tc>
      </w:tr>
    </w:tbl>
    <w:p>
      <w:pPr>
        <w:pStyle w:val="Normal"/>
        <w:rPr/>
      </w:pPr>
      <w:r>
        <w:rPr/>
        <w:t>Key View: Terra Vita’s ESG strategy is tangible and measurable, with clear alignment to global frameworks. Even pre</w:t>
        <w:noBreakHyphen/>
        <w:t>launch, the model demonstrates how jobs, land, carbon, and community outcomes reinforce both impact and investor credibility.</w:t>
      </w:r>
    </w:p>
    <w:p>
      <w:pPr>
        <w:pStyle w:val="Normal"/>
        <w:rPr/>
      </w:pPr>
      <w:r>
        <w:rPr/>
        <w:t>Investor Logic</w:t>
      </w:r>
    </w:p>
    <w:p>
      <w:pPr>
        <w:pStyle w:val="Normal"/>
        <w:rPr/>
      </w:pPr>
      <w:r>
        <w:rPr/>
        <w:t>Jobs: Direct social impact, creating livelihoods in rural South Africa.</w:t>
      </w:r>
    </w:p>
    <w:p>
      <w:pPr>
        <w:pStyle w:val="Normal"/>
        <w:rPr/>
      </w:pPr>
      <w:r>
        <w:rPr/>
        <w:t>Land: Asset</w:t>
        <w:noBreakHyphen/>
        <w:t>based regeneration, improving ecological and financial value simultaneously.</w:t>
      </w:r>
    </w:p>
    <w:p>
      <w:pPr>
        <w:pStyle w:val="Normal"/>
        <w:rPr/>
      </w:pPr>
      <w:r>
        <w:rPr/>
        <w:t>Carbon: Early carbon</w:t>
        <w:noBreakHyphen/>
        <w:t>negative status strengthens climate credentials and potential credit revenue.</w:t>
      </w:r>
    </w:p>
    <w:p>
      <w:pPr>
        <w:pStyle w:val="Normal"/>
        <w:rPr/>
      </w:pPr>
      <w:r>
        <w:rPr/>
        <w:t>Community: Workshops embed Terra Vita in the local ecosystem, building trust and visibility.</w:t>
      </w:r>
    </w:p>
    <w:p>
      <w:pPr>
        <w:pStyle w:val="Normal"/>
        <w:rPr/>
      </w:pPr>
      <w:r>
        <w:rPr/>
        <w:t>Biodiversity: Adds depth to ESG beyond carbon, appealing to impact</w:t>
        <w:noBreakHyphen/>
        <w:t>driven investors.</w:t>
      </w:r>
    </w:p>
    <w:p>
      <w:pPr>
        <w:pStyle w:val="Normal"/>
        <w:rPr/>
      </w:pPr>
      <w:r>
        <w:rPr/>
        <w:t>Visuals</w:t>
      </w:r>
    </w:p>
    <w:p>
      <w:pPr>
        <w:pStyle w:val="Normal"/>
        <w:rPr/>
      </w:pPr>
      <w:r>
        <w:rPr/>
        <w:drawing>
          <wp:inline distT="0" distB="0" distL="0" distR="0">
            <wp:extent cx="5029200" cy="3017520"/>
            <wp:effectExtent l="0" t="0" r="0" b="0"/>
            <wp:docPr id="25" name="Picture 1 Kopiëren 3"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1 Kopiëren 3" descr=""/>
                    <pic:cNvPicPr>
                      <a:picLocks noChangeAspect="1" noChangeArrowheads="1"/>
                    </pic:cNvPicPr>
                  </pic:nvPicPr>
                  <pic:blipFill>
                    <a:blip r:embed="rId26"/>
                    <a:stretch>
                      <a:fillRect/>
                    </a:stretch>
                  </pic:blipFill>
                  <pic:spPr bwMode="auto">
                    <a:xfrm>
                      <a:off x="0" y="0"/>
                      <a:ext cx="5029200" cy="3017520"/>
                    </a:xfrm>
                    <a:prstGeom prst="rect">
                      <a:avLst/>
                    </a:prstGeom>
                  </pic:spPr>
                </pic:pic>
              </a:graphicData>
            </a:graphic>
          </wp:inline>
        </w:drawing>
      </w:r>
    </w:p>
    <w:p>
      <w:pPr>
        <w:pStyle w:val="Normal"/>
        <w:rPr/>
      </w:pPr>
      <w:r>
        <w:rPr/>
        <w:drawing>
          <wp:inline distT="0" distB="0" distL="0" distR="0">
            <wp:extent cx="5029200" cy="3017520"/>
            <wp:effectExtent l="0" t="0" r="0" b="0"/>
            <wp:docPr id="26" name="Picture 2 Kopiëren 3"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 Kopiëren 3" descr=""/>
                    <pic:cNvPicPr>
                      <a:picLocks noChangeAspect="1" noChangeArrowheads="1"/>
                    </pic:cNvPicPr>
                  </pic:nvPicPr>
                  <pic:blipFill>
                    <a:blip r:embed="rId27"/>
                    <a:stretch>
                      <a:fillRect/>
                    </a:stretch>
                  </pic:blipFill>
                  <pic:spPr bwMode="auto">
                    <a:xfrm>
                      <a:off x="0" y="0"/>
                      <a:ext cx="5029200" cy="3017520"/>
                    </a:xfrm>
                    <a:prstGeom prst="rect">
                      <a:avLst/>
                    </a:prstGeom>
                  </pic:spPr>
                </pic:pic>
              </a:graphicData>
            </a:graphic>
          </wp:inline>
        </w:drawing>
      </w:r>
    </w:p>
    <w:p>
      <w:pPr>
        <w:pStyle w:val="Normal"/>
        <w:rPr/>
      </w:pPr>
      <w:r>
        <w:rPr/>
        <w:drawing>
          <wp:inline distT="0" distB="0" distL="0" distR="0">
            <wp:extent cx="5029200" cy="3017520"/>
            <wp:effectExtent l="0" t="0" r="0" b="0"/>
            <wp:docPr id="27" name="Picture 3 Kopiëren 3"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3 Kopiëren 3" descr=""/>
                    <pic:cNvPicPr>
                      <a:picLocks noChangeAspect="1" noChangeArrowheads="1"/>
                    </pic:cNvPicPr>
                  </pic:nvPicPr>
                  <pic:blipFill>
                    <a:blip r:embed="rId28"/>
                    <a:stretch>
                      <a:fillRect/>
                    </a:stretch>
                  </pic:blipFill>
                  <pic:spPr bwMode="auto">
                    <a:xfrm>
                      <a:off x="0" y="0"/>
                      <a:ext cx="5029200" cy="3017520"/>
                    </a:xfrm>
                    <a:prstGeom prst="rect">
                      <a:avLst/>
                    </a:prstGeom>
                  </pic:spPr>
                </pic:pic>
              </a:graphicData>
            </a:graphic>
          </wp:inline>
        </w:drawing>
      </w:r>
    </w:p>
    <w:p>
      <w:pPr>
        <w:pStyle w:val="Normal"/>
        <w:rPr/>
      </w:pPr>
      <w:r>
        <w:rPr/>
        <w:drawing>
          <wp:inline distT="0" distB="0" distL="0" distR="0">
            <wp:extent cx="5029200" cy="3017520"/>
            <wp:effectExtent l="0" t="0" r="0" b="0"/>
            <wp:docPr id="28" name="Picture 4 Kopiëren 1"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4 Kopiëren 1" descr=""/>
                    <pic:cNvPicPr>
                      <a:picLocks noChangeAspect="1" noChangeArrowheads="1"/>
                    </pic:cNvPicPr>
                  </pic:nvPicPr>
                  <pic:blipFill>
                    <a:blip r:embed="rId29"/>
                    <a:stretch>
                      <a:fillRect/>
                    </a:stretch>
                  </pic:blipFill>
                  <pic:spPr bwMode="auto">
                    <a:xfrm>
                      <a:off x="0" y="0"/>
                      <a:ext cx="5029200" cy="3017520"/>
                    </a:xfrm>
                    <a:prstGeom prst="rect">
                      <a:avLst/>
                    </a:prstGeom>
                  </pic:spPr>
                </pic:pic>
              </a:graphicData>
            </a:graphic>
          </wp:inline>
        </w:drawing>
      </w:r>
    </w:p>
    <w:p>
      <w:pPr>
        <w:pStyle w:val="Normal"/>
        <w:spacing w:before="0" w:after="0"/>
        <w:rPr/>
      </w:pPr>
      <w:r>
        <w:rPr/>
        <w:drawing>
          <wp:inline distT="0" distB="0" distL="0" distR="0">
            <wp:extent cx="5029200" cy="3017520"/>
            <wp:effectExtent l="0" t="0" r="0" b="0"/>
            <wp:docPr id="29" name="Picture 5 Kopiëren 1"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5 Kopiëren 1" descr=""/>
                    <pic:cNvPicPr>
                      <a:picLocks noChangeAspect="1" noChangeArrowheads="1"/>
                    </pic:cNvPicPr>
                  </pic:nvPicPr>
                  <pic:blipFill>
                    <a:blip r:embed="rId30"/>
                    <a:stretch>
                      <a:fillRect/>
                    </a:stretch>
                  </pic:blipFill>
                  <pic:spPr bwMode="auto">
                    <a:xfrm>
                      <a:off x="0" y="0"/>
                      <a:ext cx="5029200" cy="3017520"/>
                    </a:xfrm>
                    <a:prstGeom prst="rect">
                      <a:avLst/>
                    </a:prstGeom>
                  </pic:spPr>
                </pic:pic>
              </a:graphicData>
            </a:graphic>
          </wp:inline>
        </w:drawing>
      </w:r>
    </w:p>
    <w:p>
      <w:pPr>
        <w:pStyle w:val="Normal"/>
        <w:rPr/>
      </w:pPr>
      <w:r>
        <w:rPr/>
      </w:r>
      <w:r>
        <w:br w:type="page"/>
      </w:r>
    </w:p>
    <w:p>
      <w:pPr>
        <w:pStyle w:val="Normal"/>
        <w:spacing w:before="0" w:after="200"/>
        <w:jc w:val="center"/>
        <w:rPr/>
      </w:pPr>
      <w:r>
        <w:rPr>
          <w:b/>
          <w:sz w:val="28"/>
        </w:rPr>
        <w:t xml:space="preserve">⚖️ </w:t>
      </w:r>
      <w:r>
        <w:rPr>
          <w:b/>
          <w:sz w:val="28"/>
        </w:rPr>
        <w:t>Annex D – Risk Register</w:t>
      </w:r>
    </w:p>
    <w:p>
      <w:pPr>
        <w:pStyle w:val="Normal"/>
        <w:rPr/>
      </w:pPr>
      <w:r>
        <w:rPr/>
        <w:t>Methodology: Risks are scored by likelihood and impact (Low / Medium / High), with mitigation strategies and clear ownership. All risks are modelled pre</w:t>
        <w:noBreakHyphen/>
        <w:t>launch and will be validated through governance processes post</w:t>
        <w:noBreakHyphen/>
        <w:t>launch.</w:t>
      </w:r>
    </w:p>
    <w:p>
      <w:pPr>
        <w:pStyle w:val="Normal"/>
        <w:rPr/>
      </w:pPr>
      <w:r>
        <w:rPr/>
        <w:t>Risk Register Table</w:t>
      </w:r>
    </w:p>
    <w:tbl>
      <w:tblPr>
        <w:tblStyle w:val="TableGrid"/>
        <w:tblW w:w="8640" w:type="dxa"/>
        <w:jc w:val="left"/>
        <w:tblInd w:w="0" w:type="dxa"/>
        <w:tblLayout w:type="fixed"/>
        <w:tblCellMar>
          <w:top w:w="0" w:type="dxa"/>
          <w:left w:w="108" w:type="dxa"/>
          <w:bottom w:w="0" w:type="dxa"/>
          <w:right w:w="108" w:type="dxa"/>
        </w:tblCellMar>
        <w:tblLook w:firstRow="1" w:noVBand="1" w:lastRow="0" w:firstColumn="1" w:lastColumn="0" w:noHBand="0" w:val="04a0"/>
      </w:tblPr>
      <w:tblGrid>
        <w:gridCol w:w="1728"/>
        <w:gridCol w:w="1728"/>
        <w:gridCol w:w="1728"/>
        <w:gridCol w:w="1728"/>
        <w:gridCol w:w="1728"/>
      </w:tblGrid>
      <w:tr>
        <w:trPr/>
        <w:tc>
          <w:tcPr>
            <w:tcW w:w="1728" w:type="dxa"/>
            <w:tcBorders/>
          </w:tcPr>
          <w:p>
            <w:pPr>
              <w:pStyle w:val="Normal"/>
              <w:widowControl/>
              <w:spacing w:lineRule="auto" w:line="240" w:before="0" w:after="0"/>
              <w:jc w:val="left"/>
              <w:rPr>
                <w:rFonts w:ascii="Cambria" w:hAnsi="Cambria" w:eastAsia="ＭＳ 明朝" w:cs=""/>
                <w:kern w:val="0"/>
                <w:sz w:val="22"/>
                <w:szCs w:val="22"/>
                <w:lang w:val="en-US" w:eastAsia="en-US" w:bidi="ar-SA"/>
              </w:rPr>
            </w:pPr>
            <w:r>
              <w:rPr>
                <w:rFonts w:eastAsia="ＭＳ 明朝" w:cs=""/>
                <w:kern w:val="0"/>
                <w:sz w:val="22"/>
                <w:szCs w:val="22"/>
                <w:lang w:val="en-US" w:eastAsia="en-US" w:bidi="ar-SA"/>
              </w:rPr>
              <w:t>Risk Category</w:t>
            </w:r>
          </w:p>
        </w:tc>
        <w:tc>
          <w:tcPr>
            <w:tcW w:w="1728" w:type="dxa"/>
            <w:tcBorders/>
          </w:tcPr>
          <w:p>
            <w:pPr>
              <w:pStyle w:val="Normal"/>
              <w:widowControl/>
              <w:spacing w:lineRule="auto" w:line="240" w:before="0" w:after="0"/>
              <w:jc w:val="left"/>
              <w:rPr>
                <w:rFonts w:ascii="Cambria" w:hAnsi="Cambria" w:eastAsia="ＭＳ 明朝" w:cs=""/>
                <w:kern w:val="0"/>
                <w:sz w:val="22"/>
                <w:szCs w:val="22"/>
                <w:lang w:val="en-US" w:eastAsia="en-US" w:bidi="ar-SA"/>
              </w:rPr>
            </w:pPr>
            <w:r>
              <w:rPr>
                <w:rFonts w:eastAsia="ＭＳ 明朝" w:cs=""/>
                <w:kern w:val="0"/>
                <w:sz w:val="22"/>
                <w:szCs w:val="22"/>
                <w:lang w:val="en-US" w:eastAsia="en-US" w:bidi="ar-SA"/>
              </w:rPr>
              <w:t>Likelihood</w:t>
            </w:r>
          </w:p>
        </w:tc>
        <w:tc>
          <w:tcPr>
            <w:tcW w:w="1728" w:type="dxa"/>
            <w:tcBorders/>
          </w:tcPr>
          <w:p>
            <w:pPr>
              <w:pStyle w:val="Normal"/>
              <w:widowControl/>
              <w:spacing w:lineRule="auto" w:line="240" w:before="0" w:after="0"/>
              <w:jc w:val="left"/>
              <w:rPr>
                <w:rFonts w:ascii="Cambria" w:hAnsi="Cambria" w:eastAsia="ＭＳ 明朝" w:cs=""/>
                <w:kern w:val="0"/>
                <w:sz w:val="22"/>
                <w:szCs w:val="22"/>
                <w:lang w:val="en-US" w:eastAsia="en-US" w:bidi="ar-SA"/>
              </w:rPr>
            </w:pPr>
            <w:r>
              <w:rPr>
                <w:rFonts w:eastAsia="ＭＳ 明朝" w:cs=""/>
                <w:kern w:val="0"/>
                <w:sz w:val="22"/>
                <w:szCs w:val="22"/>
                <w:lang w:val="en-US" w:eastAsia="en-US" w:bidi="ar-SA"/>
              </w:rPr>
              <w:t>Impact</w:t>
            </w:r>
          </w:p>
        </w:tc>
        <w:tc>
          <w:tcPr>
            <w:tcW w:w="1728" w:type="dxa"/>
            <w:tcBorders/>
          </w:tcPr>
          <w:p>
            <w:pPr>
              <w:pStyle w:val="Normal"/>
              <w:widowControl/>
              <w:spacing w:lineRule="auto" w:line="240" w:before="0" w:after="0"/>
              <w:jc w:val="left"/>
              <w:rPr>
                <w:rFonts w:ascii="Cambria" w:hAnsi="Cambria" w:eastAsia="ＭＳ 明朝" w:cs=""/>
                <w:kern w:val="0"/>
                <w:sz w:val="22"/>
                <w:szCs w:val="22"/>
                <w:lang w:val="en-US" w:eastAsia="en-US" w:bidi="ar-SA"/>
              </w:rPr>
            </w:pPr>
            <w:r>
              <w:rPr>
                <w:rFonts w:eastAsia="ＭＳ 明朝" w:cs=""/>
                <w:kern w:val="0"/>
                <w:sz w:val="22"/>
                <w:szCs w:val="22"/>
                <w:lang w:val="en-US" w:eastAsia="en-US" w:bidi="ar-SA"/>
              </w:rPr>
              <w:t>Risk Owner</w:t>
            </w:r>
          </w:p>
        </w:tc>
        <w:tc>
          <w:tcPr>
            <w:tcW w:w="1728" w:type="dxa"/>
            <w:tcBorders/>
          </w:tcPr>
          <w:p>
            <w:pPr>
              <w:pStyle w:val="Normal"/>
              <w:widowControl/>
              <w:spacing w:lineRule="auto" w:line="240" w:before="0" w:after="0"/>
              <w:jc w:val="left"/>
              <w:rPr>
                <w:rFonts w:ascii="Cambria" w:hAnsi="Cambria" w:eastAsia="ＭＳ 明朝" w:cs=""/>
                <w:kern w:val="0"/>
                <w:sz w:val="22"/>
                <w:szCs w:val="22"/>
                <w:lang w:val="en-US" w:eastAsia="en-US" w:bidi="ar-SA"/>
              </w:rPr>
            </w:pPr>
            <w:r>
              <w:rPr>
                <w:rFonts w:eastAsia="ＭＳ 明朝" w:cs=""/>
                <w:kern w:val="0"/>
                <w:sz w:val="22"/>
                <w:szCs w:val="22"/>
                <w:lang w:val="en-US" w:eastAsia="en-US" w:bidi="ar-SA"/>
              </w:rPr>
              <w:t>Mitigation Strategy</w:t>
            </w:r>
          </w:p>
        </w:tc>
      </w:tr>
      <w:tr>
        <w:trPr/>
        <w:tc>
          <w:tcPr>
            <w:tcW w:w="1728" w:type="dxa"/>
            <w:tcBorders/>
          </w:tcPr>
          <w:p>
            <w:pPr>
              <w:pStyle w:val="Normal"/>
              <w:widowControl/>
              <w:spacing w:lineRule="auto" w:line="240" w:before="0" w:after="0"/>
              <w:jc w:val="left"/>
              <w:rPr>
                <w:rFonts w:ascii="Cambria" w:hAnsi="Cambria" w:eastAsia="ＭＳ 明朝" w:cs=""/>
                <w:kern w:val="0"/>
                <w:sz w:val="22"/>
                <w:szCs w:val="22"/>
                <w:lang w:val="en-US" w:eastAsia="en-US" w:bidi="ar-SA"/>
              </w:rPr>
            </w:pPr>
            <w:r>
              <w:rPr>
                <w:rFonts w:eastAsia="ＭＳ 明朝" w:cs=""/>
                <w:kern w:val="0"/>
                <w:sz w:val="22"/>
                <w:szCs w:val="22"/>
                <w:lang w:val="en-US" w:eastAsia="en-US" w:bidi="ar-SA"/>
              </w:rPr>
              <w:t>Market Demand</w:t>
            </w:r>
          </w:p>
        </w:tc>
        <w:tc>
          <w:tcPr>
            <w:tcW w:w="1728" w:type="dxa"/>
            <w:tcBorders/>
          </w:tcPr>
          <w:p>
            <w:pPr>
              <w:pStyle w:val="Normal"/>
              <w:widowControl/>
              <w:spacing w:lineRule="auto" w:line="240" w:before="0" w:after="0"/>
              <w:jc w:val="left"/>
              <w:rPr>
                <w:rFonts w:ascii="Cambria" w:hAnsi="Cambria" w:eastAsia="ＭＳ 明朝" w:cs=""/>
                <w:kern w:val="0"/>
                <w:sz w:val="22"/>
                <w:szCs w:val="22"/>
                <w:lang w:val="en-US" w:eastAsia="en-US" w:bidi="ar-SA"/>
              </w:rPr>
            </w:pPr>
            <w:r>
              <w:rPr>
                <w:rFonts w:eastAsia="ＭＳ 明朝" w:cs=""/>
                <w:kern w:val="0"/>
                <w:sz w:val="22"/>
                <w:szCs w:val="22"/>
                <w:lang w:val="en-US" w:eastAsia="en-US" w:bidi="ar-SA"/>
              </w:rPr>
              <w:t>Medium</w:t>
            </w:r>
          </w:p>
        </w:tc>
        <w:tc>
          <w:tcPr>
            <w:tcW w:w="1728" w:type="dxa"/>
            <w:tcBorders/>
          </w:tcPr>
          <w:p>
            <w:pPr>
              <w:pStyle w:val="Normal"/>
              <w:widowControl/>
              <w:spacing w:lineRule="auto" w:line="240" w:before="0" w:after="0"/>
              <w:jc w:val="left"/>
              <w:rPr>
                <w:rFonts w:ascii="Cambria" w:hAnsi="Cambria" w:eastAsia="ＭＳ 明朝" w:cs=""/>
                <w:kern w:val="0"/>
                <w:sz w:val="22"/>
                <w:szCs w:val="22"/>
                <w:lang w:val="en-US" w:eastAsia="en-US" w:bidi="ar-SA"/>
              </w:rPr>
            </w:pPr>
            <w:r>
              <w:rPr>
                <w:rFonts w:eastAsia="ＭＳ 明朝" w:cs=""/>
                <w:kern w:val="0"/>
                <w:sz w:val="22"/>
                <w:szCs w:val="22"/>
                <w:lang w:val="en-US" w:eastAsia="en-US" w:bidi="ar-SA"/>
              </w:rPr>
              <w:t>High</w:t>
            </w:r>
          </w:p>
        </w:tc>
        <w:tc>
          <w:tcPr>
            <w:tcW w:w="1728" w:type="dxa"/>
            <w:tcBorders/>
          </w:tcPr>
          <w:p>
            <w:pPr>
              <w:pStyle w:val="Normal"/>
              <w:widowControl/>
              <w:spacing w:lineRule="auto" w:line="240" w:before="0" w:after="0"/>
              <w:jc w:val="left"/>
              <w:rPr>
                <w:rFonts w:ascii="Cambria" w:hAnsi="Cambria" w:eastAsia="ＭＳ 明朝" w:cs=""/>
                <w:kern w:val="0"/>
                <w:sz w:val="22"/>
                <w:szCs w:val="22"/>
                <w:lang w:val="en-US" w:eastAsia="en-US" w:bidi="ar-SA"/>
              </w:rPr>
            </w:pPr>
            <w:r>
              <w:rPr>
                <w:rFonts w:eastAsia="ＭＳ 明朝" w:cs=""/>
                <w:kern w:val="0"/>
                <w:sz w:val="22"/>
                <w:szCs w:val="22"/>
                <w:lang w:val="en-US" w:eastAsia="en-US" w:bidi="ar-SA"/>
              </w:rPr>
              <w:t>Founder / Marketing Lead</w:t>
            </w:r>
          </w:p>
        </w:tc>
        <w:tc>
          <w:tcPr>
            <w:tcW w:w="1728" w:type="dxa"/>
            <w:tcBorders/>
          </w:tcPr>
          <w:p>
            <w:pPr>
              <w:pStyle w:val="Normal"/>
              <w:widowControl/>
              <w:spacing w:lineRule="auto" w:line="240" w:before="0" w:after="0"/>
              <w:jc w:val="left"/>
              <w:rPr>
                <w:rFonts w:ascii="Cambria" w:hAnsi="Cambria" w:eastAsia="ＭＳ 明朝" w:cs=""/>
                <w:kern w:val="0"/>
                <w:sz w:val="22"/>
                <w:szCs w:val="22"/>
                <w:lang w:val="en-US" w:eastAsia="en-US" w:bidi="ar-SA"/>
              </w:rPr>
            </w:pPr>
            <w:r>
              <w:rPr>
                <w:rFonts w:eastAsia="ＭＳ 明朝" w:cs=""/>
                <w:kern w:val="0"/>
                <w:sz w:val="22"/>
                <w:szCs w:val="22"/>
                <w:lang w:val="en-US" w:eastAsia="en-US" w:bidi="ar-SA"/>
              </w:rPr>
              <w:t>Staged rollout, flexible pricing, diversified revenue streams</w:t>
            </w:r>
          </w:p>
        </w:tc>
      </w:tr>
      <w:tr>
        <w:trPr/>
        <w:tc>
          <w:tcPr>
            <w:tcW w:w="1728" w:type="dxa"/>
            <w:tcBorders/>
          </w:tcPr>
          <w:p>
            <w:pPr>
              <w:pStyle w:val="Normal"/>
              <w:widowControl/>
              <w:spacing w:lineRule="auto" w:line="240" w:before="0" w:after="0"/>
              <w:jc w:val="left"/>
              <w:rPr>
                <w:rFonts w:ascii="Cambria" w:hAnsi="Cambria" w:eastAsia="ＭＳ 明朝" w:cs=""/>
                <w:kern w:val="0"/>
                <w:sz w:val="22"/>
                <w:szCs w:val="22"/>
                <w:lang w:val="en-US" w:eastAsia="en-US" w:bidi="ar-SA"/>
              </w:rPr>
            </w:pPr>
            <w:r>
              <w:rPr>
                <w:rFonts w:eastAsia="ＭＳ 明朝" w:cs=""/>
                <w:kern w:val="0"/>
                <w:sz w:val="22"/>
                <w:szCs w:val="22"/>
                <w:lang w:val="en-US" w:eastAsia="en-US" w:bidi="ar-SA"/>
              </w:rPr>
              <w:t>Regulatory</w:t>
            </w:r>
          </w:p>
        </w:tc>
        <w:tc>
          <w:tcPr>
            <w:tcW w:w="1728" w:type="dxa"/>
            <w:tcBorders/>
          </w:tcPr>
          <w:p>
            <w:pPr>
              <w:pStyle w:val="Normal"/>
              <w:widowControl/>
              <w:spacing w:lineRule="auto" w:line="240" w:before="0" w:after="0"/>
              <w:jc w:val="left"/>
              <w:rPr>
                <w:rFonts w:ascii="Cambria" w:hAnsi="Cambria" w:eastAsia="ＭＳ 明朝" w:cs=""/>
                <w:kern w:val="0"/>
                <w:sz w:val="22"/>
                <w:szCs w:val="22"/>
                <w:lang w:val="en-US" w:eastAsia="en-US" w:bidi="ar-SA"/>
              </w:rPr>
            </w:pPr>
            <w:r>
              <w:rPr>
                <w:rFonts w:eastAsia="ＭＳ 明朝" w:cs=""/>
                <w:kern w:val="0"/>
                <w:sz w:val="22"/>
                <w:szCs w:val="22"/>
                <w:lang w:val="en-US" w:eastAsia="en-US" w:bidi="ar-SA"/>
              </w:rPr>
              <w:t>Low</w:t>
            </w:r>
          </w:p>
        </w:tc>
        <w:tc>
          <w:tcPr>
            <w:tcW w:w="1728" w:type="dxa"/>
            <w:tcBorders/>
          </w:tcPr>
          <w:p>
            <w:pPr>
              <w:pStyle w:val="Normal"/>
              <w:widowControl/>
              <w:spacing w:lineRule="auto" w:line="240" w:before="0" w:after="0"/>
              <w:jc w:val="left"/>
              <w:rPr>
                <w:rFonts w:ascii="Cambria" w:hAnsi="Cambria" w:eastAsia="ＭＳ 明朝" w:cs=""/>
                <w:kern w:val="0"/>
                <w:sz w:val="22"/>
                <w:szCs w:val="22"/>
                <w:lang w:val="en-US" w:eastAsia="en-US" w:bidi="ar-SA"/>
              </w:rPr>
            </w:pPr>
            <w:r>
              <w:rPr>
                <w:rFonts w:eastAsia="ＭＳ 明朝" w:cs=""/>
                <w:kern w:val="0"/>
                <w:sz w:val="22"/>
                <w:szCs w:val="22"/>
                <w:lang w:val="en-US" w:eastAsia="en-US" w:bidi="ar-SA"/>
              </w:rPr>
              <w:t>High</w:t>
            </w:r>
          </w:p>
        </w:tc>
        <w:tc>
          <w:tcPr>
            <w:tcW w:w="1728" w:type="dxa"/>
            <w:tcBorders/>
          </w:tcPr>
          <w:p>
            <w:pPr>
              <w:pStyle w:val="Normal"/>
              <w:widowControl/>
              <w:spacing w:lineRule="auto" w:line="240" w:before="0" w:after="0"/>
              <w:jc w:val="left"/>
              <w:rPr>
                <w:rFonts w:ascii="Cambria" w:hAnsi="Cambria" w:eastAsia="ＭＳ 明朝" w:cs=""/>
                <w:kern w:val="0"/>
                <w:sz w:val="22"/>
                <w:szCs w:val="22"/>
                <w:lang w:val="en-US" w:eastAsia="en-US" w:bidi="ar-SA"/>
              </w:rPr>
            </w:pPr>
            <w:r>
              <w:rPr>
                <w:rFonts w:eastAsia="ＭＳ 明朝" w:cs=""/>
                <w:kern w:val="0"/>
                <w:sz w:val="22"/>
                <w:szCs w:val="22"/>
                <w:lang w:val="en-US" w:eastAsia="en-US" w:bidi="ar-SA"/>
              </w:rPr>
              <w:t>Compliance Officer</w:t>
            </w:r>
          </w:p>
        </w:tc>
        <w:tc>
          <w:tcPr>
            <w:tcW w:w="1728" w:type="dxa"/>
            <w:tcBorders/>
          </w:tcPr>
          <w:p>
            <w:pPr>
              <w:pStyle w:val="Normal"/>
              <w:widowControl/>
              <w:spacing w:lineRule="auto" w:line="240" w:before="0" w:after="0"/>
              <w:jc w:val="left"/>
              <w:rPr>
                <w:rFonts w:ascii="Cambria" w:hAnsi="Cambria" w:eastAsia="ＭＳ 明朝" w:cs=""/>
                <w:kern w:val="0"/>
                <w:sz w:val="22"/>
                <w:szCs w:val="22"/>
                <w:lang w:val="en-US" w:eastAsia="en-US" w:bidi="ar-SA"/>
              </w:rPr>
            </w:pPr>
            <w:r>
              <w:rPr>
                <w:rFonts w:eastAsia="ＭＳ 明朝" w:cs=""/>
                <w:kern w:val="0"/>
                <w:sz w:val="22"/>
                <w:szCs w:val="22"/>
                <w:lang w:val="en-US" w:eastAsia="en-US" w:bidi="ar-SA"/>
              </w:rPr>
              <w:t>Early DAFF/SAPS engagement, legal due diligence, permits secured</w:t>
            </w:r>
          </w:p>
        </w:tc>
      </w:tr>
      <w:tr>
        <w:trPr/>
        <w:tc>
          <w:tcPr>
            <w:tcW w:w="1728" w:type="dxa"/>
            <w:tcBorders/>
          </w:tcPr>
          <w:p>
            <w:pPr>
              <w:pStyle w:val="Normal"/>
              <w:widowControl/>
              <w:spacing w:lineRule="auto" w:line="240" w:before="0" w:after="0"/>
              <w:jc w:val="left"/>
              <w:rPr>
                <w:rFonts w:ascii="Cambria" w:hAnsi="Cambria" w:eastAsia="ＭＳ 明朝" w:cs=""/>
                <w:kern w:val="0"/>
                <w:sz w:val="22"/>
                <w:szCs w:val="22"/>
                <w:lang w:val="en-US" w:eastAsia="en-US" w:bidi="ar-SA"/>
              </w:rPr>
            </w:pPr>
            <w:r>
              <w:rPr>
                <w:rFonts w:eastAsia="ＭＳ 明朝" w:cs=""/>
                <w:kern w:val="0"/>
                <w:sz w:val="22"/>
                <w:szCs w:val="22"/>
                <w:lang w:val="en-US" w:eastAsia="en-US" w:bidi="ar-SA"/>
              </w:rPr>
              <w:t>Operational</w:t>
            </w:r>
          </w:p>
        </w:tc>
        <w:tc>
          <w:tcPr>
            <w:tcW w:w="1728" w:type="dxa"/>
            <w:tcBorders/>
          </w:tcPr>
          <w:p>
            <w:pPr>
              <w:pStyle w:val="Normal"/>
              <w:widowControl/>
              <w:spacing w:lineRule="auto" w:line="240" w:before="0" w:after="0"/>
              <w:jc w:val="left"/>
              <w:rPr>
                <w:rFonts w:ascii="Cambria" w:hAnsi="Cambria" w:eastAsia="ＭＳ 明朝" w:cs=""/>
                <w:kern w:val="0"/>
                <w:sz w:val="22"/>
                <w:szCs w:val="22"/>
                <w:lang w:val="en-US" w:eastAsia="en-US" w:bidi="ar-SA"/>
              </w:rPr>
            </w:pPr>
            <w:r>
              <w:rPr>
                <w:rFonts w:eastAsia="ＭＳ 明朝" w:cs=""/>
                <w:kern w:val="0"/>
                <w:sz w:val="22"/>
                <w:szCs w:val="22"/>
                <w:lang w:val="en-US" w:eastAsia="en-US" w:bidi="ar-SA"/>
              </w:rPr>
              <w:t>Medium</w:t>
            </w:r>
          </w:p>
        </w:tc>
        <w:tc>
          <w:tcPr>
            <w:tcW w:w="1728" w:type="dxa"/>
            <w:tcBorders/>
          </w:tcPr>
          <w:p>
            <w:pPr>
              <w:pStyle w:val="Normal"/>
              <w:widowControl/>
              <w:spacing w:lineRule="auto" w:line="240" w:before="0" w:after="0"/>
              <w:jc w:val="left"/>
              <w:rPr>
                <w:rFonts w:ascii="Cambria" w:hAnsi="Cambria" w:eastAsia="ＭＳ 明朝" w:cs=""/>
                <w:kern w:val="0"/>
                <w:sz w:val="22"/>
                <w:szCs w:val="22"/>
                <w:lang w:val="en-US" w:eastAsia="en-US" w:bidi="ar-SA"/>
              </w:rPr>
            </w:pPr>
            <w:r>
              <w:rPr>
                <w:rFonts w:eastAsia="ＭＳ 明朝" w:cs=""/>
                <w:kern w:val="0"/>
                <w:sz w:val="22"/>
                <w:szCs w:val="22"/>
                <w:lang w:val="en-US" w:eastAsia="en-US" w:bidi="ar-SA"/>
              </w:rPr>
              <w:t>Medium</w:t>
            </w:r>
          </w:p>
        </w:tc>
        <w:tc>
          <w:tcPr>
            <w:tcW w:w="1728" w:type="dxa"/>
            <w:tcBorders/>
          </w:tcPr>
          <w:p>
            <w:pPr>
              <w:pStyle w:val="Normal"/>
              <w:widowControl/>
              <w:spacing w:lineRule="auto" w:line="240" w:before="0" w:after="0"/>
              <w:jc w:val="left"/>
              <w:rPr>
                <w:rFonts w:ascii="Cambria" w:hAnsi="Cambria" w:eastAsia="ＭＳ 明朝" w:cs=""/>
                <w:kern w:val="0"/>
                <w:sz w:val="22"/>
                <w:szCs w:val="22"/>
                <w:lang w:val="en-US" w:eastAsia="en-US" w:bidi="ar-SA"/>
              </w:rPr>
            </w:pPr>
            <w:r>
              <w:rPr>
                <w:rFonts w:eastAsia="ＭＳ 明朝" w:cs=""/>
                <w:kern w:val="0"/>
                <w:sz w:val="22"/>
                <w:szCs w:val="22"/>
                <w:lang w:val="en-US" w:eastAsia="en-US" w:bidi="ar-SA"/>
              </w:rPr>
              <w:t>Operations Manager</w:t>
            </w:r>
          </w:p>
        </w:tc>
        <w:tc>
          <w:tcPr>
            <w:tcW w:w="1728" w:type="dxa"/>
            <w:tcBorders/>
          </w:tcPr>
          <w:p>
            <w:pPr>
              <w:pStyle w:val="Normal"/>
              <w:widowControl/>
              <w:spacing w:lineRule="auto" w:line="240" w:before="0" w:after="0"/>
              <w:jc w:val="left"/>
              <w:rPr>
                <w:rFonts w:ascii="Cambria" w:hAnsi="Cambria" w:eastAsia="ＭＳ 明朝" w:cs=""/>
                <w:kern w:val="0"/>
                <w:sz w:val="22"/>
                <w:szCs w:val="22"/>
                <w:lang w:val="en-US" w:eastAsia="en-US" w:bidi="ar-SA"/>
              </w:rPr>
            </w:pPr>
            <w:r>
              <w:rPr>
                <w:rFonts w:eastAsia="ＭＳ 明朝" w:cs=""/>
                <w:kern w:val="0"/>
                <w:sz w:val="22"/>
                <w:szCs w:val="22"/>
                <w:lang w:val="en-US" w:eastAsia="en-US" w:bidi="ar-SA"/>
              </w:rPr>
              <w:t>Staff training, SOPs, local supplier partnerships</w:t>
            </w:r>
          </w:p>
        </w:tc>
      </w:tr>
      <w:tr>
        <w:trPr/>
        <w:tc>
          <w:tcPr>
            <w:tcW w:w="1728" w:type="dxa"/>
            <w:tcBorders/>
          </w:tcPr>
          <w:p>
            <w:pPr>
              <w:pStyle w:val="Normal"/>
              <w:widowControl/>
              <w:spacing w:lineRule="auto" w:line="240" w:before="0" w:after="0"/>
              <w:jc w:val="left"/>
              <w:rPr>
                <w:rFonts w:ascii="Cambria" w:hAnsi="Cambria" w:eastAsia="ＭＳ 明朝" w:cs=""/>
                <w:kern w:val="0"/>
                <w:sz w:val="22"/>
                <w:szCs w:val="22"/>
                <w:lang w:val="en-US" w:eastAsia="en-US" w:bidi="ar-SA"/>
              </w:rPr>
            </w:pPr>
            <w:r>
              <w:rPr>
                <w:rFonts w:eastAsia="ＭＳ 明朝" w:cs=""/>
                <w:kern w:val="0"/>
                <w:sz w:val="22"/>
                <w:szCs w:val="22"/>
                <w:lang w:val="en-US" w:eastAsia="en-US" w:bidi="ar-SA"/>
              </w:rPr>
              <w:t>Climate / Water</w:t>
            </w:r>
          </w:p>
        </w:tc>
        <w:tc>
          <w:tcPr>
            <w:tcW w:w="1728" w:type="dxa"/>
            <w:tcBorders/>
          </w:tcPr>
          <w:p>
            <w:pPr>
              <w:pStyle w:val="Normal"/>
              <w:widowControl/>
              <w:spacing w:lineRule="auto" w:line="240" w:before="0" w:after="0"/>
              <w:jc w:val="left"/>
              <w:rPr>
                <w:rFonts w:ascii="Cambria" w:hAnsi="Cambria" w:eastAsia="ＭＳ 明朝" w:cs=""/>
                <w:kern w:val="0"/>
                <w:sz w:val="22"/>
                <w:szCs w:val="22"/>
                <w:lang w:val="en-US" w:eastAsia="en-US" w:bidi="ar-SA"/>
              </w:rPr>
            </w:pPr>
            <w:r>
              <w:rPr>
                <w:rFonts w:eastAsia="ＭＳ 明朝" w:cs=""/>
                <w:kern w:val="0"/>
                <w:sz w:val="22"/>
                <w:szCs w:val="22"/>
                <w:lang w:val="en-US" w:eastAsia="en-US" w:bidi="ar-SA"/>
              </w:rPr>
              <w:t>Medium</w:t>
            </w:r>
          </w:p>
        </w:tc>
        <w:tc>
          <w:tcPr>
            <w:tcW w:w="1728" w:type="dxa"/>
            <w:tcBorders/>
          </w:tcPr>
          <w:p>
            <w:pPr>
              <w:pStyle w:val="Normal"/>
              <w:widowControl/>
              <w:spacing w:lineRule="auto" w:line="240" w:before="0" w:after="0"/>
              <w:jc w:val="left"/>
              <w:rPr>
                <w:rFonts w:ascii="Cambria" w:hAnsi="Cambria" w:eastAsia="ＭＳ 明朝" w:cs=""/>
                <w:kern w:val="0"/>
                <w:sz w:val="22"/>
                <w:szCs w:val="22"/>
                <w:lang w:val="en-US" w:eastAsia="en-US" w:bidi="ar-SA"/>
              </w:rPr>
            </w:pPr>
            <w:r>
              <w:rPr>
                <w:rFonts w:eastAsia="ＭＳ 明朝" w:cs=""/>
                <w:kern w:val="0"/>
                <w:sz w:val="22"/>
                <w:szCs w:val="22"/>
                <w:lang w:val="en-US" w:eastAsia="en-US" w:bidi="ar-SA"/>
              </w:rPr>
              <w:t>High</w:t>
            </w:r>
          </w:p>
        </w:tc>
        <w:tc>
          <w:tcPr>
            <w:tcW w:w="1728" w:type="dxa"/>
            <w:tcBorders/>
          </w:tcPr>
          <w:p>
            <w:pPr>
              <w:pStyle w:val="Normal"/>
              <w:widowControl/>
              <w:spacing w:lineRule="auto" w:line="240" w:before="0" w:after="0"/>
              <w:jc w:val="left"/>
              <w:rPr>
                <w:rFonts w:ascii="Cambria" w:hAnsi="Cambria" w:eastAsia="ＭＳ 明朝" w:cs=""/>
                <w:kern w:val="0"/>
                <w:sz w:val="22"/>
                <w:szCs w:val="22"/>
                <w:lang w:val="en-US" w:eastAsia="en-US" w:bidi="ar-SA"/>
              </w:rPr>
            </w:pPr>
            <w:r>
              <w:rPr>
                <w:rFonts w:eastAsia="ＭＳ 明朝" w:cs=""/>
                <w:kern w:val="0"/>
                <w:sz w:val="22"/>
                <w:szCs w:val="22"/>
                <w:lang w:val="en-US" w:eastAsia="en-US" w:bidi="ar-SA"/>
              </w:rPr>
              <w:t>Sustainability Lead</w:t>
            </w:r>
          </w:p>
        </w:tc>
        <w:tc>
          <w:tcPr>
            <w:tcW w:w="1728" w:type="dxa"/>
            <w:tcBorders/>
          </w:tcPr>
          <w:p>
            <w:pPr>
              <w:pStyle w:val="Normal"/>
              <w:widowControl/>
              <w:spacing w:lineRule="auto" w:line="240" w:before="0" w:after="0"/>
              <w:jc w:val="left"/>
              <w:rPr>
                <w:rFonts w:ascii="Cambria" w:hAnsi="Cambria" w:eastAsia="ＭＳ 明朝" w:cs=""/>
                <w:kern w:val="0"/>
                <w:sz w:val="22"/>
                <w:szCs w:val="22"/>
                <w:lang w:val="en-US" w:eastAsia="en-US" w:bidi="ar-SA"/>
              </w:rPr>
            </w:pPr>
            <w:r>
              <w:rPr>
                <w:rFonts w:eastAsia="ＭＳ 明朝" w:cs=""/>
                <w:kern w:val="0"/>
                <w:sz w:val="22"/>
                <w:szCs w:val="22"/>
                <w:lang w:val="en-US" w:eastAsia="en-US" w:bidi="ar-SA"/>
              </w:rPr>
              <w:t>Irrigation planning, drought</w:t>
              <w:noBreakHyphen/>
              <w:t>resistant crops, water harvesting</w:t>
            </w:r>
          </w:p>
        </w:tc>
      </w:tr>
      <w:tr>
        <w:trPr/>
        <w:tc>
          <w:tcPr>
            <w:tcW w:w="1728" w:type="dxa"/>
            <w:tcBorders/>
          </w:tcPr>
          <w:p>
            <w:pPr>
              <w:pStyle w:val="Normal"/>
              <w:widowControl/>
              <w:spacing w:lineRule="auto" w:line="240" w:before="0" w:after="0"/>
              <w:jc w:val="left"/>
              <w:rPr>
                <w:rFonts w:ascii="Cambria" w:hAnsi="Cambria" w:eastAsia="ＭＳ 明朝" w:cs=""/>
                <w:kern w:val="0"/>
                <w:sz w:val="22"/>
                <w:szCs w:val="22"/>
                <w:lang w:val="en-US" w:eastAsia="en-US" w:bidi="ar-SA"/>
              </w:rPr>
            </w:pPr>
            <w:r>
              <w:rPr>
                <w:rFonts w:eastAsia="ＭＳ 明朝" w:cs=""/>
                <w:kern w:val="0"/>
                <w:sz w:val="22"/>
                <w:szCs w:val="22"/>
                <w:lang w:val="en-US" w:eastAsia="en-US" w:bidi="ar-SA"/>
              </w:rPr>
              <w:t>Financial</w:t>
            </w:r>
          </w:p>
        </w:tc>
        <w:tc>
          <w:tcPr>
            <w:tcW w:w="1728" w:type="dxa"/>
            <w:tcBorders/>
          </w:tcPr>
          <w:p>
            <w:pPr>
              <w:pStyle w:val="Normal"/>
              <w:widowControl/>
              <w:spacing w:lineRule="auto" w:line="240" w:before="0" w:after="0"/>
              <w:jc w:val="left"/>
              <w:rPr>
                <w:rFonts w:ascii="Cambria" w:hAnsi="Cambria" w:eastAsia="ＭＳ 明朝" w:cs=""/>
                <w:kern w:val="0"/>
                <w:sz w:val="22"/>
                <w:szCs w:val="22"/>
                <w:lang w:val="en-US" w:eastAsia="en-US" w:bidi="ar-SA"/>
              </w:rPr>
            </w:pPr>
            <w:r>
              <w:rPr>
                <w:rFonts w:eastAsia="ＭＳ 明朝" w:cs=""/>
                <w:kern w:val="0"/>
                <w:sz w:val="22"/>
                <w:szCs w:val="22"/>
                <w:lang w:val="en-US" w:eastAsia="en-US" w:bidi="ar-SA"/>
              </w:rPr>
              <w:t>Medium</w:t>
            </w:r>
          </w:p>
        </w:tc>
        <w:tc>
          <w:tcPr>
            <w:tcW w:w="1728" w:type="dxa"/>
            <w:tcBorders/>
          </w:tcPr>
          <w:p>
            <w:pPr>
              <w:pStyle w:val="Normal"/>
              <w:widowControl/>
              <w:spacing w:lineRule="auto" w:line="240" w:before="0" w:after="0"/>
              <w:jc w:val="left"/>
              <w:rPr>
                <w:rFonts w:ascii="Cambria" w:hAnsi="Cambria" w:eastAsia="ＭＳ 明朝" w:cs=""/>
                <w:kern w:val="0"/>
                <w:sz w:val="22"/>
                <w:szCs w:val="22"/>
                <w:lang w:val="en-US" w:eastAsia="en-US" w:bidi="ar-SA"/>
              </w:rPr>
            </w:pPr>
            <w:r>
              <w:rPr>
                <w:rFonts w:eastAsia="ＭＳ 明朝" w:cs=""/>
                <w:kern w:val="0"/>
                <w:sz w:val="22"/>
                <w:szCs w:val="22"/>
                <w:lang w:val="en-US" w:eastAsia="en-US" w:bidi="ar-SA"/>
              </w:rPr>
              <w:t>High</w:t>
            </w:r>
          </w:p>
        </w:tc>
        <w:tc>
          <w:tcPr>
            <w:tcW w:w="1728" w:type="dxa"/>
            <w:tcBorders/>
          </w:tcPr>
          <w:p>
            <w:pPr>
              <w:pStyle w:val="Normal"/>
              <w:widowControl/>
              <w:spacing w:lineRule="auto" w:line="240" w:before="0" w:after="0"/>
              <w:jc w:val="left"/>
              <w:rPr>
                <w:rFonts w:ascii="Cambria" w:hAnsi="Cambria" w:eastAsia="ＭＳ 明朝" w:cs=""/>
                <w:kern w:val="0"/>
                <w:sz w:val="22"/>
                <w:szCs w:val="22"/>
                <w:lang w:val="en-US" w:eastAsia="en-US" w:bidi="ar-SA"/>
              </w:rPr>
            </w:pPr>
            <w:r>
              <w:rPr>
                <w:rFonts w:eastAsia="ＭＳ 明朝" w:cs=""/>
                <w:kern w:val="0"/>
                <w:sz w:val="22"/>
                <w:szCs w:val="22"/>
                <w:lang w:val="en-US" w:eastAsia="en-US" w:bidi="ar-SA"/>
              </w:rPr>
              <w:t>CFO / Finance Lead</w:t>
            </w:r>
          </w:p>
        </w:tc>
        <w:tc>
          <w:tcPr>
            <w:tcW w:w="1728" w:type="dxa"/>
            <w:tcBorders/>
          </w:tcPr>
          <w:p>
            <w:pPr>
              <w:pStyle w:val="Normal"/>
              <w:widowControl/>
              <w:spacing w:lineRule="auto" w:line="240" w:before="0" w:after="0"/>
              <w:jc w:val="left"/>
              <w:rPr>
                <w:rFonts w:ascii="Cambria" w:hAnsi="Cambria" w:eastAsia="ＭＳ 明朝" w:cs=""/>
                <w:kern w:val="0"/>
                <w:sz w:val="22"/>
                <w:szCs w:val="22"/>
                <w:lang w:val="en-US" w:eastAsia="en-US" w:bidi="ar-SA"/>
              </w:rPr>
            </w:pPr>
            <w:r>
              <w:rPr>
                <w:rFonts w:eastAsia="ＭＳ 明朝" w:cs=""/>
                <w:kern w:val="0"/>
                <w:sz w:val="22"/>
                <w:szCs w:val="22"/>
                <w:lang w:val="en-US" w:eastAsia="en-US" w:bidi="ar-SA"/>
              </w:rPr>
              <w:t>Conservative cash flow planning, contingency reserves</w:t>
            </w:r>
          </w:p>
        </w:tc>
      </w:tr>
      <w:tr>
        <w:trPr/>
        <w:tc>
          <w:tcPr>
            <w:tcW w:w="1728" w:type="dxa"/>
            <w:tcBorders/>
          </w:tcPr>
          <w:p>
            <w:pPr>
              <w:pStyle w:val="Normal"/>
              <w:widowControl/>
              <w:spacing w:lineRule="auto" w:line="240" w:before="0" w:after="0"/>
              <w:jc w:val="left"/>
              <w:rPr>
                <w:rFonts w:ascii="Cambria" w:hAnsi="Cambria" w:eastAsia="ＭＳ 明朝" w:cs=""/>
                <w:kern w:val="0"/>
                <w:sz w:val="22"/>
                <w:szCs w:val="22"/>
                <w:lang w:val="en-US" w:eastAsia="en-US" w:bidi="ar-SA"/>
              </w:rPr>
            </w:pPr>
            <w:r>
              <w:rPr>
                <w:rFonts w:eastAsia="ＭＳ 明朝" w:cs=""/>
                <w:kern w:val="0"/>
                <w:sz w:val="22"/>
                <w:szCs w:val="22"/>
                <w:lang w:val="en-US" w:eastAsia="en-US" w:bidi="ar-SA"/>
              </w:rPr>
              <w:t>Reputational</w:t>
            </w:r>
          </w:p>
        </w:tc>
        <w:tc>
          <w:tcPr>
            <w:tcW w:w="1728" w:type="dxa"/>
            <w:tcBorders/>
          </w:tcPr>
          <w:p>
            <w:pPr>
              <w:pStyle w:val="Normal"/>
              <w:widowControl/>
              <w:spacing w:lineRule="auto" w:line="240" w:before="0" w:after="0"/>
              <w:jc w:val="left"/>
              <w:rPr>
                <w:rFonts w:ascii="Cambria" w:hAnsi="Cambria" w:eastAsia="ＭＳ 明朝" w:cs=""/>
                <w:kern w:val="0"/>
                <w:sz w:val="22"/>
                <w:szCs w:val="22"/>
                <w:lang w:val="en-US" w:eastAsia="en-US" w:bidi="ar-SA"/>
              </w:rPr>
            </w:pPr>
            <w:r>
              <w:rPr>
                <w:rFonts w:eastAsia="ＭＳ 明朝" w:cs=""/>
                <w:kern w:val="0"/>
                <w:sz w:val="22"/>
                <w:szCs w:val="22"/>
                <w:lang w:val="en-US" w:eastAsia="en-US" w:bidi="ar-SA"/>
              </w:rPr>
              <w:t>Low</w:t>
            </w:r>
          </w:p>
        </w:tc>
        <w:tc>
          <w:tcPr>
            <w:tcW w:w="1728" w:type="dxa"/>
            <w:tcBorders/>
          </w:tcPr>
          <w:p>
            <w:pPr>
              <w:pStyle w:val="Normal"/>
              <w:widowControl/>
              <w:spacing w:lineRule="auto" w:line="240" w:before="0" w:after="0"/>
              <w:jc w:val="left"/>
              <w:rPr>
                <w:rFonts w:ascii="Cambria" w:hAnsi="Cambria" w:eastAsia="ＭＳ 明朝" w:cs=""/>
                <w:kern w:val="0"/>
                <w:sz w:val="22"/>
                <w:szCs w:val="22"/>
                <w:lang w:val="en-US" w:eastAsia="en-US" w:bidi="ar-SA"/>
              </w:rPr>
            </w:pPr>
            <w:r>
              <w:rPr>
                <w:rFonts w:eastAsia="ＭＳ 明朝" w:cs=""/>
                <w:kern w:val="0"/>
                <w:sz w:val="22"/>
                <w:szCs w:val="22"/>
                <w:lang w:val="en-US" w:eastAsia="en-US" w:bidi="ar-SA"/>
              </w:rPr>
              <w:t>Medium</w:t>
            </w:r>
          </w:p>
        </w:tc>
        <w:tc>
          <w:tcPr>
            <w:tcW w:w="1728" w:type="dxa"/>
            <w:tcBorders/>
          </w:tcPr>
          <w:p>
            <w:pPr>
              <w:pStyle w:val="Normal"/>
              <w:widowControl/>
              <w:spacing w:lineRule="auto" w:line="240" w:before="0" w:after="0"/>
              <w:jc w:val="left"/>
              <w:rPr>
                <w:rFonts w:ascii="Cambria" w:hAnsi="Cambria" w:eastAsia="ＭＳ 明朝" w:cs=""/>
                <w:kern w:val="0"/>
                <w:sz w:val="22"/>
                <w:szCs w:val="22"/>
                <w:lang w:val="en-US" w:eastAsia="en-US" w:bidi="ar-SA"/>
              </w:rPr>
            </w:pPr>
            <w:r>
              <w:rPr>
                <w:rFonts w:eastAsia="ＭＳ 明朝" w:cs=""/>
                <w:kern w:val="0"/>
                <w:sz w:val="22"/>
                <w:szCs w:val="22"/>
                <w:lang w:val="en-US" w:eastAsia="en-US" w:bidi="ar-SA"/>
              </w:rPr>
              <w:t>Founder / Comms Lead</w:t>
            </w:r>
          </w:p>
        </w:tc>
        <w:tc>
          <w:tcPr>
            <w:tcW w:w="1728" w:type="dxa"/>
            <w:tcBorders/>
          </w:tcPr>
          <w:p>
            <w:pPr>
              <w:pStyle w:val="Normal"/>
              <w:widowControl/>
              <w:spacing w:lineRule="auto" w:line="240" w:before="0" w:after="0"/>
              <w:jc w:val="left"/>
              <w:rPr>
                <w:rFonts w:ascii="Cambria" w:hAnsi="Cambria" w:eastAsia="ＭＳ 明朝" w:cs=""/>
                <w:kern w:val="0"/>
                <w:sz w:val="22"/>
                <w:szCs w:val="22"/>
                <w:lang w:val="en-US" w:eastAsia="en-US" w:bidi="ar-SA"/>
              </w:rPr>
            </w:pPr>
            <w:r>
              <w:rPr>
                <w:rFonts w:eastAsia="ＭＳ 明朝" w:cs=""/>
                <w:kern w:val="0"/>
                <w:sz w:val="22"/>
                <w:szCs w:val="22"/>
                <w:lang w:val="en-US" w:eastAsia="en-US" w:bidi="ar-SA"/>
              </w:rPr>
              <w:t>Transparent investor updates, proactive community engagement</w:t>
            </w:r>
          </w:p>
        </w:tc>
      </w:tr>
    </w:tbl>
    <w:p>
      <w:pPr>
        <w:pStyle w:val="Normal"/>
        <w:rPr/>
      </w:pPr>
      <w:r>
        <w:rPr/>
        <w:t>Key View: Risks are not hidden — they are acknowledged, scored, and paired with mitigation strategies and ownership. This builds investor trust and demonstrates governance maturity.</w:t>
      </w:r>
    </w:p>
    <w:p>
      <w:pPr>
        <w:pStyle w:val="Normal"/>
        <w:rPr/>
      </w:pPr>
      <w:r>
        <w:rPr/>
        <w:t>Investor Logic</w:t>
      </w:r>
    </w:p>
    <w:p>
      <w:pPr>
        <w:pStyle w:val="Normal"/>
        <w:rPr/>
      </w:pPr>
      <w:r>
        <w:rPr/>
        <w:t>Market Demand: Mitigated by phased rollout and diversified income streams.</w:t>
      </w:r>
    </w:p>
    <w:p>
      <w:pPr>
        <w:pStyle w:val="Normal"/>
        <w:rPr/>
      </w:pPr>
      <w:r>
        <w:rPr/>
        <w:t>Regulatory: Low likelihood but high impact → addressed through compliance and early engagement.</w:t>
      </w:r>
    </w:p>
    <w:p>
      <w:pPr>
        <w:pStyle w:val="Normal"/>
        <w:rPr/>
      </w:pPr>
      <w:r>
        <w:rPr/>
        <w:t>Operational &amp; Climate: Practical mitigations in place, showing foresight.</w:t>
      </w:r>
    </w:p>
    <w:p>
      <w:pPr>
        <w:pStyle w:val="Normal"/>
        <w:rPr/>
      </w:pPr>
      <w:r>
        <w:rPr/>
        <w:t>Financial: Conservative planning ensures resilience.</w:t>
      </w:r>
    </w:p>
    <w:p>
      <w:pPr>
        <w:pStyle w:val="Normal"/>
        <w:rPr/>
      </w:pPr>
      <w:r>
        <w:rPr/>
        <w:t>Reputational: Transparency and community engagement reduce downside risk.</w:t>
      </w:r>
    </w:p>
    <w:p>
      <w:pPr>
        <w:pStyle w:val="Normal"/>
        <w:rPr/>
      </w:pPr>
      <w:r>
        <w:rPr/>
        <w:t>Visuals</w:t>
      </w:r>
    </w:p>
    <w:p>
      <w:pPr>
        <w:pStyle w:val="Normal"/>
        <w:spacing w:before="0" w:after="0"/>
        <w:rPr/>
      </w:pPr>
      <w:r>
        <w:rPr/>
        <w:drawing>
          <wp:inline distT="0" distB="0" distL="0" distR="0">
            <wp:extent cx="4572000" cy="4572000"/>
            <wp:effectExtent l="0" t="0" r="0" b="0"/>
            <wp:docPr id="30" name="Picture 1 Kopiëren 4"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1 Kopiëren 4" descr=""/>
                    <pic:cNvPicPr>
                      <a:picLocks noChangeAspect="1" noChangeArrowheads="1"/>
                    </pic:cNvPicPr>
                  </pic:nvPicPr>
                  <pic:blipFill>
                    <a:blip r:embed="rId31"/>
                    <a:stretch>
                      <a:fillRect/>
                    </a:stretch>
                  </pic:blipFill>
                  <pic:spPr bwMode="auto">
                    <a:xfrm>
                      <a:off x="0" y="0"/>
                      <a:ext cx="4572000" cy="4572000"/>
                    </a:xfrm>
                    <a:prstGeom prst="rect">
                      <a:avLst/>
                    </a:prstGeom>
                  </pic:spPr>
                </pic:pic>
              </a:graphicData>
            </a:graphic>
          </wp:inline>
        </w:drawing>
      </w:r>
    </w:p>
    <w:p>
      <w:pPr>
        <w:pStyle w:val="Normal"/>
        <w:rPr/>
      </w:pPr>
      <w:r>
        <w:rPr/>
      </w:r>
      <w:r>
        <w:br w:type="page"/>
      </w:r>
    </w:p>
    <w:p>
      <w:pPr>
        <w:pStyle w:val="Normal"/>
        <w:spacing w:before="0" w:after="200"/>
        <w:jc w:val="center"/>
        <w:rPr/>
      </w:pPr>
      <w:r>
        <w:rPr>
          <w:b/>
          <w:sz w:val="28"/>
        </w:rPr>
        <w:t xml:space="preserve">💶 </w:t>
      </w:r>
      <w:r>
        <w:rPr>
          <w:b/>
          <w:sz w:val="28"/>
        </w:rPr>
        <w:t>Annex E – Funding Scenarios</w:t>
      </w:r>
    </w:p>
    <w:p>
      <w:pPr>
        <w:pStyle w:val="Normal"/>
        <w:rPr/>
      </w:pPr>
      <w:r>
        <w:rPr/>
        <w:t>Methodology: Comparative modelling of three funding structures — Equity, Blended, and Staged — each tested against Terra Vita’s 5</w:t>
        <w:noBreakHyphen/>
        <w:t>year projections. All scenarios are pre</w:t>
        <w:noBreakHyphen/>
        <w:t>launch estimates, not commitments.</w:t>
      </w:r>
    </w:p>
    <w:p>
      <w:pPr>
        <w:pStyle w:val="Normal"/>
        <w:rPr/>
      </w:pPr>
      <w:r>
        <w:rPr/>
        <w:t>Funding Scenarios Comparison</w:t>
      </w:r>
    </w:p>
    <w:tbl>
      <w:tblPr>
        <w:tblStyle w:val="TableGrid"/>
        <w:tblW w:w="8640" w:type="dxa"/>
        <w:jc w:val="left"/>
        <w:tblInd w:w="0" w:type="dxa"/>
        <w:tblLayout w:type="fixed"/>
        <w:tblCellMar>
          <w:top w:w="0" w:type="dxa"/>
          <w:left w:w="108" w:type="dxa"/>
          <w:bottom w:w="0" w:type="dxa"/>
          <w:right w:w="108" w:type="dxa"/>
        </w:tblCellMar>
        <w:tblLook w:firstRow="1" w:noVBand="1" w:lastRow="0" w:firstColumn="1" w:lastColumn="0" w:noHBand="0" w:val="04a0"/>
      </w:tblPr>
      <w:tblGrid>
        <w:gridCol w:w="2160"/>
        <w:gridCol w:w="2160"/>
        <w:gridCol w:w="2160"/>
        <w:gridCol w:w="2159"/>
      </w:tblGrid>
      <w:tr>
        <w:trPr/>
        <w:tc>
          <w:tcPr>
            <w:tcW w:w="2160" w:type="dxa"/>
            <w:tcBorders/>
          </w:tcPr>
          <w:p>
            <w:pPr>
              <w:pStyle w:val="Normal"/>
              <w:widowControl/>
              <w:spacing w:lineRule="auto" w:line="240" w:before="0" w:after="0"/>
              <w:jc w:val="left"/>
              <w:rPr>
                <w:rFonts w:ascii="Cambria" w:hAnsi="Cambria" w:eastAsia="ＭＳ 明朝" w:cs=""/>
                <w:kern w:val="0"/>
                <w:sz w:val="22"/>
                <w:szCs w:val="22"/>
                <w:lang w:val="en-US" w:eastAsia="en-US" w:bidi="ar-SA"/>
              </w:rPr>
            </w:pPr>
            <w:r>
              <w:rPr>
                <w:rFonts w:eastAsia="ＭＳ 明朝" w:cs=""/>
                <w:kern w:val="0"/>
                <w:sz w:val="22"/>
                <w:szCs w:val="22"/>
                <w:lang w:val="en-US" w:eastAsia="en-US" w:bidi="ar-SA"/>
              </w:rPr>
              <w:t>Structure</w:t>
            </w:r>
          </w:p>
        </w:tc>
        <w:tc>
          <w:tcPr>
            <w:tcW w:w="2160" w:type="dxa"/>
            <w:tcBorders/>
          </w:tcPr>
          <w:p>
            <w:pPr>
              <w:pStyle w:val="Normal"/>
              <w:widowControl/>
              <w:spacing w:lineRule="auto" w:line="240" w:before="0" w:after="0"/>
              <w:jc w:val="left"/>
              <w:rPr>
                <w:rFonts w:ascii="Cambria" w:hAnsi="Cambria" w:eastAsia="ＭＳ 明朝" w:cs=""/>
                <w:kern w:val="0"/>
                <w:sz w:val="22"/>
                <w:szCs w:val="22"/>
                <w:lang w:val="en-US" w:eastAsia="en-US" w:bidi="ar-SA"/>
              </w:rPr>
            </w:pPr>
            <w:r>
              <w:rPr>
                <w:rFonts w:eastAsia="ＭＳ 明朝" w:cs=""/>
                <w:kern w:val="0"/>
                <w:sz w:val="22"/>
                <w:szCs w:val="22"/>
                <w:lang w:val="en-US" w:eastAsia="en-US" w:bidi="ar-SA"/>
              </w:rPr>
              <w:t>Capital Structure</w:t>
            </w:r>
          </w:p>
        </w:tc>
        <w:tc>
          <w:tcPr>
            <w:tcW w:w="2160" w:type="dxa"/>
            <w:tcBorders/>
          </w:tcPr>
          <w:p>
            <w:pPr>
              <w:pStyle w:val="Normal"/>
              <w:widowControl/>
              <w:spacing w:lineRule="auto" w:line="240" w:before="0" w:after="0"/>
              <w:jc w:val="left"/>
              <w:rPr>
                <w:rFonts w:ascii="Cambria" w:hAnsi="Cambria" w:eastAsia="ＭＳ 明朝" w:cs=""/>
                <w:kern w:val="0"/>
                <w:sz w:val="22"/>
                <w:szCs w:val="22"/>
                <w:lang w:val="en-US" w:eastAsia="en-US" w:bidi="ar-SA"/>
              </w:rPr>
            </w:pPr>
            <w:r>
              <w:rPr>
                <w:rFonts w:eastAsia="ＭＳ 明朝" w:cs=""/>
                <w:kern w:val="0"/>
                <w:sz w:val="22"/>
                <w:szCs w:val="22"/>
                <w:lang w:val="en-US" w:eastAsia="en-US" w:bidi="ar-SA"/>
              </w:rPr>
              <w:t>IRR (Base)</w:t>
            </w:r>
          </w:p>
        </w:tc>
        <w:tc>
          <w:tcPr>
            <w:tcW w:w="2159" w:type="dxa"/>
            <w:tcBorders/>
          </w:tcPr>
          <w:p>
            <w:pPr>
              <w:pStyle w:val="Normal"/>
              <w:widowControl/>
              <w:spacing w:lineRule="auto" w:line="240" w:before="0" w:after="0"/>
              <w:jc w:val="left"/>
              <w:rPr>
                <w:rFonts w:ascii="Cambria" w:hAnsi="Cambria" w:eastAsia="ＭＳ 明朝" w:cs=""/>
                <w:kern w:val="0"/>
                <w:sz w:val="22"/>
                <w:szCs w:val="22"/>
                <w:lang w:val="en-US" w:eastAsia="en-US" w:bidi="ar-SA"/>
              </w:rPr>
            </w:pPr>
            <w:r>
              <w:rPr>
                <w:rFonts w:eastAsia="ＭＳ 明朝" w:cs=""/>
                <w:kern w:val="0"/>
                <w:sz w:val="22"/>
                <w:szCs w:val="22"/>
                <w:lang w:val="en-US" w:eastAsia="en-US" w:bidi="ar-SA"/>
              </w:rPr>
              <w:t>Payback</w:t>
            </w:r>
          </w:p>
        </w:tc>
      </w:tr>
      <w:tr>
        <w:trPr/>
        <w:tc>
          <w:tcPr>
            <w:tcW w:w="2160" w:type="dxa"/>
            <w:tcBorders/>
          </w:tcPr>
          <w:p>
            <w:pPr>
              <w:pStyle w:val="Normal"/>
              <w:widowControl/>
              <w:spacing w:lineRule="auto" w:line="240" w:before="0" w:after="0"/>
              <w:jc w:val="left"/>
              <w:rPr>
                <w:rFonts w:ascii="Cambria" w:hAnsi="Cambria" w:eastAsia="ＭＳ 明朝" w:cs=""/>
                <w:kern w:val="0"/>
                <w:sz w:val="22"/>
                <w:szCs w:val="22"/>
                <w:lang w:val="en-US" w:eastAsia="en-US" w:bidi="ar-SA"/>
              </w:rPr>
            </w:pPr>
            <w:r>
              <w:rPr>
                <w:rFonts w:eastAsia="ＭＳ 明朝" w:cs=""/>
                <w:kern w:val="0"/>
                <w:sz w:val="22"/>
                <w:szCs w:val="22"/>
                <w:lang w:val="en-US" w:eastAsia="en-US" w:bidi="ar-SA"/>
              </w:rPr>
              <w:t>Equity Seed</w:t>
            </w:r>
          </w:p>
        </w:tc>
        <w:tc>
          <w:tcPr>
            <w:tcW w:w="2160" w:type="dxa"/>
            <w:tcBorders/>
          </w:tcPr>
          <w:p>
            <w:pPr>
              <w:pStyle w:val="Normal"/>
              <w:widowControl/>
              <w:spacing w:lineRule="auto" w:line="240" w:before="0" w:after="0"/>
              <w:jc w:val="left"/>
              <w:rPr>
                <w:rFonts w:ascii="Cambria" w:hAnsi="Cambria" w:eastAsia="ＭＳ 明朝" w:cs=""/>
                <w:kern w:val="0"/>
                <w:sz w:val="22"/>
                <w:szCs w:val="22"/>
                <w:lang w:val="en-US" w:eastAsia="en-US" w:bidi="ar-SA"/>
              </w:rPr>
            </w:pPr>
            <w:r>
              <w:rPr>
                <w:rFonts w:eastAsia="ＭＳ 明朝" w:cs=""/>
                <w:kern w:val="0"/>
                <w:sz w:val="22"/>
                <w:szCs w:val="22"/>
                <w:lang w:val="en-US" w:eastAsia="en-US" w:bidi="ar-SA"/>
              </w:rPr>
              <w:t>€</w:t>
            </w:r>
            <w:r>
              <w:rPr>
                <w:rFonts w:eastAsia="ＭＳ 明朝" w:cs=""/>
                <w:kern w:val="0"/>
                <w:sz w:val="22"/>
                <w:szCs w:val="22"/>
                <w:lang w:val="en-US" w:eastAsia="en-US" w:bidi="ar-SA"/>
              </w:rPr>
              <w:t>350k equity</w:t>
            </w:r>
          </w:p>
        </w:tc>
        <w:tc>
          <w:tcPr>
            <w:tcW w:w="2160" w:type="dxa"/>
            <w:tcBorders/>
          </w:tcPr>
          <w:p>
            <w:pPr>
              <w:pStyle w:val="Normal"/>
              <w:widowControl/>
              <w:spacing w:lineRule="auto" w:line="240" w:before="0" w:after="0"/>
              <w:jc w:val="left"/>
              <w:rPr>
                <w:rFonts w:ascii="Cambria" w:hAnsi="Cambria" w:eastAsia="ＭＳ 明朝" w:cs=""/>
                <w:kern w:val="0"/>
                <w:sz w:val="22"/>
                <w:szCs w:val="22"/>
                <w:lang w:val="en-US" w:eastAsia="en-US" w:bidi="ar-SA"/>
              </w:rPr>
            </w:pPr>
            <w:r>
              <w:rPr>
                <w:rFonts w:eastAsia="ＭＳ 明朝" w:cs=""/>
                <w:kern w:val="0"/>
                <w:sz w:val="22"/>
                <w:szCs w:val="22"/>
                <w:lang w:val="en-US" w:eastAsia="en-US" w:bidi="ar-SA"/>
              </w:rPr>
              <w:t>~22%</w:t>
            </w:r>
          </w:p>
        </w:tc>
        <w:tc>
          <w:tcPr>
            <w:tcW w:w="2159" w:type="dxa"/>
            <w:tcBorders/>
          </w:tcPr>
          <w:p>
            <w:pPr>
              <w:pStyle w:val="Normal"/>
              <w:widowControl/>
              <w:spacing w:lineRule="auto" w:line="240" w:before="0" w:after="0"/>
              <w:jc w:val="left"/>
              <w:rPr>
                <w:rFonts w:ascii="Cambria" w:hAnsi="Cambria" w:eastAsia="ＭＳ 明朝" w:cs=""/>
                <w:kern w:val="0"/>
                <w:sz w:val="22"/>
                <w:szCs w:val="22"/>
                <w:lang w:val="en-US" w:eastAsia="en-US" w:bidi="ar-SA"/>
              </w:rPr>
            </w:pPr>
            <w:r>
              <w:rPr>
                <w:rFonts w:eastAsia="ＭＳ 明朝" w:cs=""/>
                <w:kern w:val="0"/>
                <w:sz w:val="22"/>
                <w:szCs w:val="22"/>
                <w:lang w:val="en-US" w:eastAsia="en-US" w:bidi="ar-SA"/>
              </w:rPr>
              <w:t>&lt; 2 yrs</w:t>
            </w:r>
          </w:p>
        </w:tc>
      </w:tr>
      <w:tr>
        <w:trPr/>
        <w:tc>
          <w:tcPr>
            <w:tcW w:w="2160" w:type="dxa"/>
            <w:tcBorders/>
          </w:tcPr>
          <w:p>
            <w:pPr>
              <w:pStyle w:val="Normal"/>
              <w:widowControl/>
              <w:spacing w:lineRule="auto" w:line="240" w:before="0" w:after="0"/>
              <w:jc w:val="left"/>
              <w:rPr>
                <w:rFonts w:ascii="Cambria" w:hAnsi="Cambria" w:eastAsia="ＭＳ 明朝" w:cs=""/>
                <w:kern w:val="0"/>
                <w:sz w:val="22"/>
                <w:szCs w:val="22"/>
                <w:lang w:val="en-US" w:eastAsia="en-US" w:bidi="ar-SA"/>
              </w:rPr>
            </w:pPr>
            <w:r>
              <w:rPr>
                <w:rFonts w:eastAsia="ＭＳ 明朝" w:cs=""/>
                <w:kern w:val="0"/>
                <w:sz w:val="22"/>
                <w:szCs w:val="22"/>
                <w:lang w:val="en-US" w:eastAsia="en-US" w:bidi="ar-SA"/>
              </w:rPr>
              <w:t>Blended</w:t>
            </w:r>
          </w:p>
        </w:tc>
        <w:tc>
          <w:tcPr>
            <w:tcW w:w="2160" w:type="dxa"/>
            <w:tcBorders/>
          </w:tcPr>
          <w:p>
            <w:pPr>
              <w:pStyle w:val="Normal"/>
              <w:widowControl/>
              <w:spacing w:lineRule="auto" w:line="240" w:before="0" w:after="0"/>
              <w:jc w:val="left"/>
              <w:rPr>
                <w:rFonts w:ascii="Cambria" w:hAnsi="Cambria" w:eastAsia="ＭＳ 明朝" w:cs=""/>
                <w:kern w:val="0"/>
                <w:sz w:val="22"/>
                <w:szCs w:val="22"/>
                <w:lang w:val="en-US" w:eastAsia="en-US" w:bidi="ar-SA"/>
              </w:rPr>
            </w:pPr>
            <w:r>
              <w:rPr>
                <w:rFonts w:eastAsia="ＭＳ 明朝" w:cs=""/>
                <w:kern w:val="0"/>
                <w:sz w:val="22"/>
                <w:szCs w:val="22"/>
                <w:lang w:val="en-US" w:eastAsia="en-US" w:bidi="ar-SA"/>
              </w:rPr>
              <w:t>€</w:t>
            </w:r>
            <w:r>
              <w:rPr>
                <w:rFonts w:eastAsia="ＭＳ 明朝" w:cs=""/>
                <w:kern w:val="0"/>
                <w:sz w:val="22"/>
                <w:szCs w:val="22"/>
                <w:lang w:val="en-US" w:eastAsia="en-US" w:bidi="ar-SA"/>
              </w:rPr>
              <w:t>200k equity + €150k soft loan</w:t>
            </w:r>
          </w:p>
        </w:tc>
        <w:tc>
          <w:tcPr>
            <w:tcW w:w="2160" w:type="dxa"/>
            <w:tcBorders/>
          </w:tcPr>
          <w:p>
            <w:pPr>
              <w:pStyle w:val="Normal"/>
              <w:widowControl/>
              <w:spacing w:lineRule="auto" w:line="240" w:before="0" w:after="0"/>
              <w:jc w:val="left"/>
              <w:rPr>
                <w:rFonts w:ascii="Cambria" w:hAnsi="Cambria" w:eastAsia="ＭＳ 明朝" w:cs=""/>
                <w:kern w:val="0"/>
                <w:sz w:val="22"/>
                <w:szCs w:val="22"/>
                <w:lang w:val="en-US" w:eastAsia="en-US" w:bidi="ar-SA"/>
              </w:rPr>
            </w:pPr>
            <w:r>
              <w:rPr>
                <w:rFonts w:eastAsia="ＭＳ 明朝" w:cs=""/>
                <w:kern w:val="0"/>
                <w:sz w:val="22"/>
                <w:szCs w:val="22"/>
                <w:lang w:val="en-US" w:eastAsia="en-US" w:bidi="ar-SA"/>
              </w:rPr>
              <w:t>~20%</w:t>
            </w:r>
          </w:p>
        </w:tc>
        <w:tc>
          <w:tcPr>
            <w:tcW w:w="2159" w:type="dxa"/>
            <w:tcBorders/>
          </w:tcPr>
          <w:p>
            <w:pPr>
              <w:pStyle w:val="Normal"/>
              <w:widowControl/>
              <w:spacing w:lineRule="auto" w:line="240" w:before="0" w:after="0"/>
              <w:jc w:val="left"/>
              <w:rPr>
                <w:rFonts w:ascii="Cambria" w:hAnsi="Cambria" w:eastAsia="ＭＳ 明朝" w:cs=""/>
                <w:kern w:val="0"/>
                <w:sz w:val="22"/>
                <w:szCs w:val="22"/>
                <w:lang w:val="en-US" w:eastAsia="en-US" w:bidi="ar-SA"/>
              </w:rPr>
            </w:pPr>
            <w:r>
              <w:rPr>
                <w:rFonts w:eastAsia="ＭＳ 明朝" w:cs=""/>
                <w:kern w:val="0"/>
                <w:sz w:val="22"/>
                <w:szCs w:val="22"/>
                <w:lang w:val="en-US" w:eastAsia="en-US" w:bidi="ar-SA"/>
              </w:rPr>
              <w:t>~2.2 yrs</w:t>
            </w:r>
          </w:p>
        </w:tc>
      </w:tr>
      <w:tr>
        <w:trPr/>
        <w:tc>
          <w:tcPr>
            <w:tcW w:w="2160" w:type="dxa"/>
            <w:tcBorders/>
          </w:tcPr>
          <w:p>
            <w:pPr>
              <w:pStyle w:val="Normal"/>
              <w:widowControl/>
              <w:spacing w:lineRule="auto" w:line="240" w:before="0" w:after="0"/>
              <w:jc w:val="left"/>
              <w:rPr>
                <w:rFonts w:ascii="Cambria" w:hAnsi="Cambria" w:eastAsia="ＭＳ 明朝" w:cs=""/>
                <w:kern w:val="0"/>
                <w:sz w:val="22"/>
                <w:szCs w:val="22"/>
                <w:lang w:val="en-US" w:eastAsia="en-US" w:bidi="ar-SA"/>
              </w:rPr>
            </w:pPr>
            <w:r>
              <w:rPr>
                <w:rFonts w:eastAsia="ＭＳ 明朝" w:cs=""/>
                <w:kern w:val="0"/>
                <w:sz w:val="22"/>
                <w:szCs w:val="22"/>
                <w:lang w:val="en-US" w:eastAsia="en-US" w:bidi="ar-SA"/>
              </w:rPr>
              <w:t>Staged</w:t>
            </w:r>
          </w:p>
        </w:tc>
        <w:tc>
          <w:tcPr>
            <w:tcW w:w="2160" w:type="dxa"/>
            <w:tcBorders/>
          </w:tcPr>
          <w:p>
            <w:pPr>
              <w:pStyle w:val="Normal"/>
              <w:widowControl/>
              <w:spacing w:lineRule="auto" w:line="240" w:before="0" w:after="0"/>
              <w:jc w:val="left"/>
              <w:rPr>
                <w:rFonts w:ascii="Cambria" w:hAnsi="Cambria" w:eastAsia="ＭＳ 明朝" w:cs=""/>
                <w:kern w:val="0"/>
                <w:sz w:val="22"/>
                <w:szCs w:val="22"/>
                <w:lang w:val="en-US" w:eastAsia="en-US" w:bidi="ar-SA"/>
              </w:rPr>
            </w:pPr>
            <w:r>
              <w:rPr>
                <w:rFonts w:eastAsia="ＭＳ 明朝" w:cs=""/>
                <w:kern w:val="0"/>
                <w:sz w:val="22"/>
                <w:szCs w:val="22"/>
                <w:lang w:val="en-US" w:eastAsia="en-US" w:bidi="ar-SA"/>
              </w:rPr>
              <w:t>€</w:t>
            </w:r>
            <w:r>
              <w:rPr>
                <w:rFonts w:eastAsia="ＭＳ 明朝" w:cs=""/>
                <w:kern w:val="0"/>
                <w:sz w:val="22"/>
                <w:szCs w:val="22"/>
                <w:lang w:val="en-US" w:eastAsia="en-US" w:bidi="ar-SA"/>
              </w:rPr>
              <w:t>200k equity (Y1) + €150k expansion (Y2)</w:t>
            </w:r>
          </w:p>
        </w:tc>
        <w:tc>
          <w:tcPr>
            <w:tcW w:w="2160" w:type="dxa"/>
            <w:tcBorders/>
          </w:tcPr>
          <w:p>
            <w:pPr>
              <w:pStyle w:val="Normal"/>
              <w:widowControl/>
              <w:spacing w:lineRule="auto" w:line="240" w:before="0" w:after="0"/>
              <w:jc w:val="left"/>
              <w:rPr>
                <w:rFonts w:ascii="Cambria" w:hAnsi="Cambria" w:eastAsia="ＭＳ 明朝" w:cs=""/>
                <w:kern w:val="0"/>
                <w:sz w:val="22"/>
                <w:szCs w:val="22"/>
                <w:lang w:val="en-US" w:eastAsia="en-US" w:bidi="ar-SA"/>
              </w:rPr>
            </w:pPr>
            <w:r>
              <w:rPr>
                <w:rFonts w:eastAsia="ＭＳ 明朝" w:cs=""/>
                <w:kern w:val="0"/>
                <w:sz w:val="22"/>
                <w:szCs w:val="22"/>
                <w:lang w:val="en-US" w:eastAsia="en-US" w:bidi="ar-SA"/>
              </w:rPr>
              <w:t>~24%</w:t>
            </w:r>
          </w:p>
        </w:tc>
        <w:tc>
          <w:tcPr>
            <w:tcW w:w="2159" w:type="dxa"/>
            <w:tcBorders/>
          </w:tcPr>
          <w:p>
            <w:pPr>
              <w:pStyle w:val="Normal"/>
              <w:widowControl/>
              <w:spacing w:lineRule="auto" w:line="240" w:before="0" w:after="0"/>
              <w:jc w:val="left"/>
              <w:rPr>
                <w:rFonts w:ascii="Cambria" w:hAnsi="Cambria" w:eastAsia="ＭＳ 明朝" w:cs=""/>
                <w:kern w:val="0"/>
                <w:sz w:val="22"/>
                <w:szCs w:val="22"/>
                <w:lang w:val="en-US" w:eastAsia="en-US" w:bidi="ar-SA"/>
              </w:rPr>
            </w:pPr>
            <w:r>
              <w:rPr>
                <w:rFonts w:eastAsia="ＭＳ 明朝" w:cs=""/>
                <w:kern w:val="0"/>
                <w:sz w:val="22"/>
                <w:szCs w:val="22"/>
                <w:lang w:val="en-US" w:eastAsia="en-US" w:bidi="ar-SA"/>
              </w:rPr>
              <w:t>~1.8 yrs</w:t>
            </w:r>
          </w:p>
        </w:tc>
      </w:tr>
    </w:tbl>
    <w:p>
      <w:pPr>
        <w:pStyle w:val="Normal"/>
        <w:rPr/>
      </w:pPr>
      <w:r>
        <w:rPr/>
        <w:t>Key View: Terra Vita offers flexible structures with no hidden pivots. Each option balances investor appetite for risk, dilution, and return.</w:t>
      </w:r>
    </w:p>
    <w:p>
      <w:pPr>
        <w:pStyle w:val="Normal"/>
        <w:rPr/>
      </w:pPr>
      <w:r>
        <w:rPr/>
        <w:t>Investor Logic</w:t>
      </w:r>
    </w:p>
    <w:p>
      <w:pPr>
        <w:pStyle w:val="Normal"/>
        <w:rPr/>
      </w:pPr>
      <w:r>
        <w:rPr/>
        <w:t>Equity Seed: Straightforward, transparent, and attractive for early</w:t>
        <w:noBreakHyphen/>
        <w:t>stage impact investors seeking simplicity.</w:t>
      </w:r>
    </w:p>
    <w:p>
      <w:pPr>
        <w:pStyle w:val="Normal"/>
        <w:rPr/>
      </w:pPr>
      <w:r>
        <w:rPr/>
        <w:t>Blended: Appeals to investors who prefer reduced dilution and are comfortable with a debt component.</w:t>
      </w:r>
    </w:p>
    <w:p>
      <w:pPr>
        <w:pStyle w:val="Normal"/>
        <w:rPr/>
      </w:pPr>
      <w:r>
        <w:rPr/>
        <w:t>Staged: Ideal for milestone</w:t>
        <w:noBreakHyphen/>
        <w:t>driven investors who want to see proof of execution before committing full capital.</w:t>
      </w:r>
    </w:p>
    <w:p>
      <w:pPr>
        <w:pStyle w:val="Normal"/>
        <w:rPr/>
      </w:pPr>
      <w:r>
        <w:rPr/>
        <w:t>Visuals</w:t>
      </w:r>
    </w:p>
    <w:p>
      <w:pPr>
        <w:pStyle w:val="Normal"/>
        <w:rPr/>
      </w:pPr>
      <w:r>
        <w:rPr/>
        <w:drawing>
          <wp:inline distT="0" distB="0" distL="0" distR="0">
            <wp:extent cx="4572000" cy="2743200"/>
            <wp:effectExtent l="0" t="0" r="0" b="0"/>
            <wp:docPr id="31" name="Picture 1 Kopiëren 5"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1 Kopiëren 5" descr=""/>
                    <pic:cNvPicPr>
                      <a:picLocks noChangeAspect="1" noChangeArrowheads="1"/>
                    </pic:cNvPicPr>
                  </pic:nvPicPr>
                  <pic:blipFill>
                    <a:blip r:embed="rId32"/>
                    <a:stretch>
                      <a:fillRect/>
                    </a:stretch>
                  </pic:blipFill>
                  <pic:spPr bwMode="auto">
                    <a:xfrm>
                      <a:off x="0" y="0"/>
                      <a:ext cx="4572000" cy="2743200"/>
                    </a:xfrm>
                    <a:prstGeom prst="rect">
                      <a:avLst/>
                    </a:prstGeom>
                  </pic:spPr>
                </pic:pic>
              </a:graphicData>
            </a:graphic>
          </wp:inline>
        </w:drawing>
      </w:r>
    </w:p>
    <w:p>
      <w:pPr>
        <w:pStyle w:val="Normal"/>
        <w:spacing w:before="0" w:after="0"/>
        <w:rPr/>
      </w:pPr>
      <w:r>
        <w:rPr/>
      </w:r>
    </w:p>
    <w:p>
      <w:pPr>
        <w:pStyle w:val="Normal"/>
        <w:rPr/>
      </w:pPr>
      <w:r>
        <w:rPr/>
      </w:r>
      <w:r>
        <w:br w:type="page"/>
      </w:r>
    </w:p>
    <w:p>
      <w:pPr>
        <w:pStyle w:val="Normal"/>
        <w:spacing w:before="0" w:after="200"/>
        <w:jc w:val="center"/>
        <w:rPr/>
      </w:pPr>
      <w:r>
        <w:rPr>
          <w:b/>
          <w:sz w:val="28"/>
        </w:rPr>
        <w:t xml:space="preserve">📋 </w:t>
      </w:r>
      <w:r>
        <w:rPr>
          <w:b/>
          <w:sz w:val="28"/>
        </w:rPr>
        <w:t>Annex F – Dashboard</w:t>
      </w:r>
    </w:p>
    <w:p>
      <w:pPr>
        <w:pStyle w:val="Normal"/>
        <w:rPr/>
      </w:pPr>
      <w:r>
        <w:rPr/>
        <w:t>Methodology: KPI progression modelled from pilot assumptions, aligned with Terra Vita’s 5</w:t>
        <w:noBreakHyphen/>
        <w:t>year roadmap. Figures are forward</w:t>
        <w:noBreakHyphen/>
        <w:t>looking only, not measured.</w:t>
      </w:r>
    </w:p>
    <w:p>
      <w:pPr>
        <w:pStyle w:val="Normal"/>
        <w:rPr/>
      </w:pPr>
      <w:r>
        <w:rPr/>
        <w:t>KPI Progression Table</w:t>
      </w:r>
    </w:p>
    <w:tbl>
      <w:tblPr>
        <w:tblStyle w:val="TableGrid"/>
        <w:tblW w:w="8640" w:type="dxa"/>
        <w:jc w:val="left"/>
        <w:tblInd w:w="0" w:type="dxa"/>
        <w:tblLayout w:type="fixed"/>
        <w:tblCellMar>
          <w:top w:w="0" w:type="dxa"/>
          <w:left w:w="108" w:type="dxa"/>
          <w:bottom w:w="0" w:type="dxa"/>
          <w:right w:w="108" w:type="dxa"/>
        </w:tblCellMar>
        <w:tblLook w:firstRow="1" w:noVBand="1" w:lastRow="0" w:firstColumn="1" w:lastColumn="0" w:noHBand="0" w:val="04a0"/>
      </w:tblPr>
      <w:tblGrid>
        <w:gridCol w:w="1728"/>
        <w:gridCol w:w="1728"/>
        <w:gridCol w:w="1728"/>
        <w:gridCol w:w="1728"/>
        <w:gridCol w:w="1728"/>
      </w:tblGrid>
      <w:tr>
        <w:trPr/>
        <w:tc>
          <w:tcPr>
            <w:tcW w:w="1728" w:type="dxa"/>
            <w:tcBorders/>
          </w:tcPr>
          <w:p>
            <w:pPr>
              <w:pStyle w:val="Normal"/>
              <w:widowControl/>
              <w:spacing w:lineRule="auto" w:line="240" w:before="0" w:after="0"/>
              <w:jc w:val="left"/>
              <w:rPr>
                <w:rFonts w:ascii="Cambria" w:hAnsi="Cambria" w:eastAsia="ＭＳ 明朝" w:cs=""/>
                <w:kern w:val="0"/>
                <w:sz w:val="22"/>
                <w:szCs w:val="22"/>
                <w:lang w:val="en-US" w:eastAsia="en-US" w:bidi="ar-SA"/>
              </w:rPr>
            </w:pPr>
            <w:r>
              <w:rPr>
                <w:rFonts w:eastAsia="ＭＳ 明朝" w:cs=""/>
                <w:kern w:val="0"/>
                <w:sz w:val="22"/>
                <w:szCs w:val="22"/>
                <w:lang w:val="en-US" w:eastAsia="en-US" w:bidi="ar-SA"/>
              </w:rPr>
              <w:t>Year</w:t>
            </w:r>
          </w:p>
        </w:tc>
        <w:tc>
          <w:tcPr>
            <w:tcW w:w="1728" w:type="dxa"/>
            <w:tcBorders/>
          </w:tcPr>
          <w:p>
            <w:pPr>
              <w:pStyle w:val="Normal"/>
              <w:widowControl/>
              <w:spacing w:lineRule="auto" w:line="240" w:before="0" w:after="0"/>
              <w:jc w:val="left"/>
              <w:rPr>
                <w:rFonts w:ascii="Cambria" w:hAnsi="Cambria" w:eastAsia="ＭＳ 明朝" w:cs=""/>
                <w:kern w:val="0"/>
                <w:sz w:val="22"/>
                <w:szCs w:val="22"/>
                <w:lang w:val="en-US" w:eastAsia="en-US" w:bidi="ar-SA"/>
              </w:rPr>
            </w:pPr>
            <w:r>
              <w:rPr>
                <w:rFonts w:eastAsia="ＭＳ 明朝" w:cs=""/>
                <w:kern w:val="0"/>
                <w:sz w:val="22"/>
                <w:szCs w:val="22"/>
                <w:lang w:val="en-US" w:eastAsia="en-US" w:bidi="ar-SA"/>
              </w:rPr>
              <w:t>IRR (%)</w:t>
            </w:r>
          </w:p>
        </w:tc>
        <w:tc>
          <w:tcPr>
            <w:tcW w:w="1728" w:type="dxa"/>
            <w:tcBorders/>
          </w:tcPr>
          <w:p>
            <w:pPr>
              <w:pStyle w:val="Normal"/>
              <w:widowControl/>
              <w:spacing w:lineRule="auto" w:line="240" w:before="0" w:after="0"/>
              <w:jc w:val="left"/>
              <w:rPr>
                <w:rFonts w:ascii="Cambria" w:hAnsi="Cambria" w:eastAsia="ＭＳ 明朝" w:cs=""/>
                <w:kern w:val="0"/>
                <w:sz w:val="22"/>
                <w:szCs w:val="22"/>
                <w:lang w:val="en-US" w:eastAsia="en-US" w:bidi="ar-SA"/>
              </w:rPr>
            </w:pPr>
            <w:r>
              <w:rPr>
                <w:rFonts w:eastAsia="ＭＳ 明朝" w:cs=""/>
                <w:kern w:val="0"/>
                <w:sz w:val="22"/>
                <w:szCs w:val="22"/>
                <w:lang w:val="en-US" w:eastAsia="en-US" w:bidi="ar-SA"/>
              </w:rPr>
              <w:t>Jobs Created</w:t>
            </w:r>
          </w:p>
        </w:tc>
        <w:tc>
          <w:tcPr>
            <w:tcW w:w="1728" w:type="dxa"/>
            <w:tcBorders/>
          </w:tcPr>
          <w:p>
            <w:pPr>
              <w:pStyle w:val="Normal"/>
              <w:widowControl/>
              <w:spacing w:lineRule="auto" w:line="240" w:before="0" w:after="0"/>
              <w:jc w:val="left"/>
              <w:rPr>
                <w:rFonts w:ascii="Cambria" w:hAnsi="Cambria" w:eastAsia="ＭＳ 明朝" w:cs=""/>
                <w:kern w:val="0"/>
                <w:sz w:val="22"/>
                <w:szCs w:val="22"/>
                <w:lang w:val="en-US" w:eastAsia="en-US" w:bidi="ar-SA"/>
              </w:rPr>
            </w:pPr>
            <w:r>
              <w:rPr>
                <w:rFonts w:eastAsia="ＭＳ 明朝" w:cs=""/>
                <w:kern w:val="0"/>
                <w:sz w:val="22"/>
                <w:szCs w:val="22"/>
                <w:lang w:val="en-US" w:eastAsia="en-US" w:bidi="ar-SA"/>
              </w:rPr>
              <w:t>Land Restored (ha)</w:t>
            </w:r>
          </w:p>
        </w:tc>
        <w:tc>
          <w:tcPr>
            <w:tcW w:w="1728" w:type="dxa"/>
            <w:tcBorders/>
          </w:tcPr>
          <w:p>
            <w:pPr>
              <w:pStyle w:val="Normal"/>
              <w:widowControl/>
              <w:spacing w:lineRule="auto" w:line="240" w:before="0" w:after="0"/>
              <w:jc w:val="left"/>
              <w:rPr>
                <w:rFonts w:ascii="Cambria" w:hAnsi="Cambria" w:eastAsia="ＭＳ 明朝" w:cs=""/>
                <w:kern w:val="0"/>
                <w:sz w:val="22"/>
                <w:szCs w:val="22"/>
                <w:lang w:val="en-US" w:eastAsia="en-US" w:bidi="ar-SA"/>
              </w:rPr>
            </w:pPr>
            <w:r>
              <w:rPr>
                <w:rFonts w:eastAsia="ＭＳ 明朝" w:cs=""/>
                <w:kern w:val="0"/>
                <w:sz w:val="22"/>
                <w:szCs w:val="22"/>
                <w:lang w:val="en-US" w:eastAsia="en-US" w:bidi="ar-SA"/>
              </w:rPr>
              <w:t>Carbon Credits (tons CO₂e)</w:t>
            </w:r>
          </w:p>
        </w:tc>
      </w:tr>
      <w:tr>
        <w:trPr/>
        <w:tc>
          <w:tcPr>
            <w:tcW w:w="1728" w:type="dxa"/>
            <w:tcBorders/>
          </w:tcPr>
          <w:p>
            <w:pPr>
              <w:pStyle w:val="Normal"/>
              <w:widowControl/>
              <w:spacing w:lineRule="auto" w:line="240" w:before="0" w:after="0"/>
              <w:jc w:val="left"/>
              <w:rPr>
                <w:rFonts w:ascii="Cambria" w:hAnsi="Cambria" w:eastAsia="ＭＳ 明朝" w:cs=""/>
                <w:kern w:val="0"/>
                <w:sz w:val="22"/>
                <w:szCs w:val="22"/>
                <w:lang w:val="en-US" w:eastAsia="en-US" w:bidi="ar-SA"/>
              </w:rPr>
            </w:pPr>
            <w:r>
              <w:rPr>
                <w:rFonts w:eastAsia="ＭＳ 明朝" w:cs=""/>
                <w:kern w:val="0"/>
                <w:sz w:val="22"/>
                <w:szCs w:val="22"/>
                <w:lang w:val="en-US" w:eastAsia="en-US" w:bidi="ar-SA"/>
              </w:rPr>
              <w:t>Y1</w:t>
            </w:r>
          </w:p>
        </w:tc>
        <w:tc>
          <w:tcPr>
            <w:tcW w:w="1728" w:type="dxa"/>
            <w:tcBorders/>
          </w:tcPr>
          <w:p>
            <w:pPr>
              <w:pStyle w:val="Normal"/>
              <w:widowControl/>
              <w:spacing w:lineRule="auto" w:line="240" w:before="0" w:after="0"/>
              <w:jc w:val="left"/>
              <w:rPr>
                <w:rFonts w:ascii="Cambria" w:hAnsi="Cambria" w:eastAsia="ＭＳ 明朝" w:cs=""/>
                <w:kern w:val="0"/>
                <w:sz w:val="22"/>
                <w:szCs w:val="22"/>
                <w:lang w:val="en-US" w:eastAsia="en-US" w:bidi="ar-SA"/>
              </w:rPr>
            </w:pPr>
            <w:r>
              <w:rPr>
                <w:rFonts w:eastAsia="ＭＳ 明朝" w:cs=""/>
                <w:kern w:val="0"/>
                <w:sz w:val="22"/>
                <w:szCs w:val="22"/>
                <w:lang w:val="en-US" w:eastAsia="en-US" w:bidi="ar-SA"/>
              </w:rPr>
              <w:t>22</w:t>
            </w:r>
          </w:p>
        </w:tc>
        <w:tc>
          <w:tcPr>
            <w:tcW w:w="1728" w:type="dxa"/>
            <w:tcBorders/>
          </w:tcPr>
          <w:p>
            <w:pPr>
              <w:pStyle w:val="Normal"/>
              <w:widowControl/>
              <w:spacing w:lineRule="auto" w:line="240" w:before="0" w:after="0"/>
              <w:jc w:val="left"/>
              <w:rPr>
                <w:rFonts w:ascii="Cambria" w:hAnsi="Cambria" w:eastAsia="ＭＳ 明朝" w:cs=""/>
                <w:kern w:val="0"/>
                <w:sz w:val="22"/>
                <w:szCs w:val="22"/>
                <w:lang w:val="en-US" w:eastAsia="en-US" w:bidi="ar-SA"/>
              </w:rPr>
            </w:pPr>
            <w:r>
              <w:rPr>
                <w:rFonts w:eastAsia="ＭＳ 明朝" w:cs=""/>
                <w:kern w:val="0"/>
                <w:sz w:val="22"/>
                <w:szCs w:val="22"/>
                <w:lang w:val="en-US" w:eastAsia="en-US" w:bidi="ar-SA"/>
              </w:rPr>
              <w:t>10</w:t>
            </w:r>
          </w:p>
        </w:tc>
        <w:tc>
          <w:tcPr>
            <w:tcW w:w="1728" w:type="dxa"/>
            <w:tcBorders/>
          </w:tcPr>
          <w:p>
            <w:pPr>
              <w:pStyle w:val="Normal"/>
              <w:widowControl/>
              <w:spacing w:lineRule="auto" w:line="240" w:before="0" w:after="0"/>
              <w:jc w:val="left"/>
              <w:rPr>
                <w:rFonts w:ascii="Cambria" w:hAnsi="Cambria" w:eastAsia="ＭＳ 明朝" w:cs=""/>
                <w:kern w:val="0"/>
                <w:sz w:val="22"/>
                <w:szCs w:val="22"/>
                <w:lang w:val="en-US" w:eastAsia="en-US" w:bidi="ar-SA"/>
              </w:rPr>
            </w:pPr>
            <w:r>
              <w:rPr>
                <w:rFonts w:eastAsia="ＭＳ 明朝" w:cs=""/>
                <w:kern w:val="0"/>
                <w:sz w:val="22"/>
                <w:szCs w:val="22"/>
                <w:lang w:val="en-US" w:eastAsia="en-US" w:bidi="ar-SA"/>
              </w:rPr>
              <w:t>2</w:t>
            </w:r>
          </w:p>
        </w:tc>
        <w:tc>
          <w:tcPr>
            <w:tcW w:w="1728" w:type="dxa"/>
            <w:tcBorders/>
          </w:tcPr>
          <w:p>
            <w:pPr>
              <w:pStyle w:val="Normal"/>
              <w:widowControl/>
              <w:spacing w:lineRule="auto" w:line="240" w:before="0" w:after="0"/>
              <w:jc w:val="left"/>
              <w:rPr>
                <w:rFonts w:ascii="Cambria" w:hAnsi="Cambria" w:eastAsia="ＭＳ 明朝" w:cs=""/>
                <w:kern w:val="0"/>
                <w:sz w:val="22"/>
                <w:szCs w:val="22"/>
                <w:lang w:val="en-US" w:eastAsia="en-US" w:bidi="ar-SA"/>
              </w:rPr>
            </w:pPr>
            <w:r>
              <w:rPr>
                <w:rFonts w:eastAsia="ＭＳ 明朝" w:cs=""/>
                <w:kern w:val="0"/>
                <w:sz w:val="22"/>
                <w:szCs w:val="22"/>
                <w:lang w:val="en-US" w:eastAsia="en-US" w:bidi="ar-SA"/>
              </w:rPr>
              <w:t>0</w:t>
            </w:r>
          </w:p>
        </w:tc>
      </w:tr>
      <w:tr>
        <w:trPr/>
        <w:tc>
          <w:tcPr>
            <w:tcW w:w="1728" w:type="dxa"/>
            <w:tcBorders/>
          </w:tcPr>
          <w:p>
            <w:pPr>
              <w:pStyle w:val="Normal"/>
              <w:widowControl/>
              <w:spacing w:lineRule="auto" w:line="240" w:before="0" w:after="0"/>
              <w:jc w:val="left"/>
              <w:rPr>
                <w:rFonts w:ascii="Cambria" w:hAnsi="Cambria" w:eastAsia="ＭＳ 明朝" w:cs=""/>
                <w:kern w:val="0"/>
                <w:sz w:val="22"/>
                <w:szCs w:val="22"/>
                <w:lang w:val="en-US" w:eastAsia="en-US" w:bidi="ar-SA"/>
              </w:rPr>
            </w:pPr>
            <w:r>
              <w:rPr>
                <w:rFonts w:eastAsia="ＭＳ 明朝" w:cs=""/>
                <w:kern w:val="0"/>
                <w:sz w:val="22"/>
                <w:szCs w:val="22"/>
                <w:lang w:val="en-US" w:eastAsia="en-US" w:bidi="ar-SA"/>
              </w:rPr>
              <w:t>Y2</w:t>
            </w:r>
          </w:p>
        </w:tc>
        <w:tc>
          <w:tcPr>
            <w:tcW w:w="1728" w:type="dxa"/>
            <w:tcBorders/>
          </w:tcPr>
          <w:p>
            <w:pPr>
              <w:pStyle w:val="Normal"/>
              <w:widowControl/>
              <w:spacing w:lineRule="auto" w:line="240" w:before="0" w:after="0"/>
              <w:jc w:val="left"/>
              <w:rPr>
                <w:rFonts w:ascii="Cambria" w:hAnsi="Cambria" w:eastAsia="ＭＳ 明朝" w:cs=""/>
                <w:kern w:val="0"/>
                <w:sz w:val="22"/>
                <w:szCs w:val="22"/>
                <w:lang w:val="en-US" w:eastAsia="en-US" w:bidi="ar-SA"/>
              </w:rPr>
            </w:pPr>
            <w:r>
              <w:rPr>
                <w:rFonts w:eastAsia="ＭＳ 明朝" w:cs=""/>
                <w:kern w:val="0"/>
                <w:sz w:val="22"/>
                <w:szCs w:val="22"/>
                <w:lang w:val="en-US" w:eastAsia="en-US" w:bidi="ar-SA"/>
              </w:rPr>
              <w:t>23</w:t>
            </w:r>
          </w:p>
        </w:tc>
        <w:tc>
          <w:tcPr>
            <w:tcW w:w="1728" w:type="dxa"/>
            <w:tcBorders/>
          </w:tcPr>
          <w:p>
            <w:pPr>
              <w:pStyle w:val="Normal"/>
              <w:widowControl/>
              <w:spacing w:lineRule="auto" w:line="240" w:before="0" w:after="0"/>
              <w:jc w:val="left"/>
              <w:rPr>
                <w:rFonts w:ascii="Cambria" w:hAnsi="Cambria" w:eastAsia="ＭＳ 明朝" w:cs=""/>
                <w:kern w:val="0"/>
                <w:sz w:val="22"/>
                <w:szCs w:val="22"/>
                <w:lang w:val="en-US" w:eastAsia="en-US" w:bidi="ar-SA"/>
              </w:rPr>
            </w:pPr>
            <w:r>
              <w:rPr>
                <w:rFonts w:eastAsia="ＭＳ 明朝" w:cs=""/>
                <w:kern w:val="0"/>
                <w:sz w:val="22"/>
                <w:szCs w:val="22"/>
                <w:lang w:val="en-US" w:eastAsia="en-US" w:bidi="ar-SA"/>
              </w:rPr>
              <w:t>12</w:t>
            </w:r>
          </w:p>
        </w:tc>
        <w:tc>
          <w:tcPr>
            <w:tcW w:w="1728" w:type="dxa"/>
            <w:tcBorders/>
          </w:tcPr>
          <w:p>
            <w:pPr>
              <w:pStyle w:val="Normal"/>
              <w:widowControl/>
              <w:spacing w:lineRule="auto" w:line="240" w:before="0" w:after="0"/>
              <w:jc w:val="left"/>
              <w:rPr>
                <w:rFonts w:ascii="Cambria" w:hAnsi="Cambria" w:eastAsia="ＭＳ 明朝" w:cs=""/>
                <w:kern w:val="0"/>
                <w:sz w:val="22"/>
                <w:szCs w:val="22"/>
                <w:lang w:val="en-US" w:eastAsia="en-US" w:bidi="ar-SA"/>
              </w:rPr>
            </w:pPr>
            <w:r>
              <w:rPr>
                <w:rFonts w:eastAsia="ＭＳ 明朝" w:cs=""/>
                <w:kern w:val="0"/>
                <w:sz w:val="22"/>
                <w:szCs w:val="22"/>
                <w:lang w:val="en-US" w:eastAsia="en-US" w:bidi="ar-SA"/>
              </w:rPr>
              <w:t>3</w:t>
            </w:r>
          </w:p>
        </w:tc>
        <w:tc>
          <w:tcPr>
            <w:tcW w:w="1728" w:type="dxa"/>
            <w:tcBorders/>
          </w:tcPr>
          <w:p>
            <w:pPr>
              <w:pStyle w:val="Normal"/>
              <w:widowControl/>
              <w:spacing w:lineRule="auto" w:line="240" w:before="0" w:after="0"/>
              <w:jc w:val="left"/>
              <w:rPr>
                <w:rFonts w:ascii="Cambria" w:hAnsi="Cambria" w:eastAsia="ＭＳ 明朝" w:cs=""/>
                <w:kern w:val="0"/>
                <w:sz w:val="22"/>
                <w:szCs w:val="22"/>
                <w:lang w:val="en-US" w:eastAsia="en-US" w:bidi="ar-SA"/>
              </w:rPr>
            </w:pPr>
            <w:r>
              <w:rPr>
                <w:rFonts w:eastAsia="ＭＳ 明朝" w:cs=""/>
                <w:kern w:val="0"/>
                <w:sz w:val="22"/>
                <w:szCs w:val="22"/>
                <w:lang w:val="en-US" w:eastAsia="en-US" w:bidi="ar-SA"/>
              </w:rPr>
              <w:t>100</w:t>
            </w:r>
          </w:p>
        </w:tc>
      </w:tr>
      <w:tr>
        <w:trPr/>
        <w:tc>
          <w:tcPr>
            <w:tcW w:w="1728" w:type="dxa"/>
            <w:tcBorders/>
          </w:tcPr>
          <w:p>
            <w:pPr>
              <w:pStyle w:val="Normal"/>
              <w:widowControl/>
              <w:spacing w:lineRule="auto" w:line="240" w:before="0" w:after="0"/>
              <w:jc w:val="left"/>
              <w:rPr>
                <w:rFonts w:ascii="Cambria" w:hAnsi="Cambria" w:eastAsia="ＭＳ 明朝" w:cs=""/>
                <w:kern w:val="0"/>
                <w:sz w:val="22"/>
                <w:szCs w:val="22"/>
                <w:lang w:val="en-US" w:eastAsia="en-US" w:bidi="ar-SA"/>
              </w:rPr>
            </w:pPr>
            <w:r>
              <w:rPr>
                <w:rFonts w:eastAsia="ＭＳ 明朝" w:cs=""/>
                <w:kern w:val="0"/>
                <w:sz w:val="22"/>
                <w:szCs w:val="22"/>
                <w:lang w:val="en-US" w:eastAsia="en-US" w:bidi="ar-SA"/>
              </w:rPr>
              <w:t>Y3</w:t>
            </w:r>
          </w:p>
        </w:tc>
        <w:tc>
          <w:tcPr>
            <w:tcW w:w="1728" w:type="dxa"/>
            <w:tcBorders/>
          </w:tcPr>
          <w:p>
            <w:pPr>
              <w:pStyle w:val="Normal"/>
              <w:widowControl/>
              <w:spacing w:lineRule="auto" w:line="240" w:before="0" w:after="0"/>
              <w:jc w:val="left"/>
              <w:rPr>
                <w:rFonts w:ascii="Cambria" w:hAnsi="Cambria" w:eastAsia="ＭＳ 明朝" w:cs=""/>
                <w:kern w:val="0"/>
                <w:sz w:val="22"/>
                <w:szCs w:val="22"/>
                <w:lang w:val="en-US" w:eastAsia="en-US" w:bidi="ar-SA"/>
              </w:rPr>
            </w:pPr>
            <w:r>
              <w:rPr>
                <w:rFonts w:eastAsia="ＭＳ 明朝" w:cs=""/>
                <w:kern w:val="0"/>
                <w:sz w:val="22"/>
                <w:szCs w:val="22"/>
                <w:lang w:val="en-US" w:eastAsia="en-US" w:bidi="ar-SA"/>
              </w:rPr>
              <w:t>24</w:t>
            </w:r>
          </w:p>
        </w:tc>
        <w:tc>
          <w:tcPr>
            <w:tcW w:w="1728" w:type="dxa"/>
            <w:tcBorders/>
          </w:tcPr>
          <w:p>
            <w:pPr>
              <w:pStyle w:val="Normal"/>
              <w:widowControl/>
              <w:spacing w:lineRule="auto" w:line="240" w:before="0" w:after="0"/>
              <w:jc w:val="left"/>
              <w:rPr>
                <w:rFonts w:ascii="Cambria" w:hAnsi="Cambria" w:eastAsia="ＭＳ 明朝" w:cs=""/>
                <w:kern w:val="0"/>
                <w:sz w:val="22"/>
                <w:szCs w:val="22"/>
                <w:lang w:val="en-US" w:eastAsia="en-US" w:bidi="ar-SA"/>
              </w:rPr>
            </w:pPr>
            <w:r>
              <w:rPr>
                <w:rFonts w:eastAsia="ＭＳ 明朝" w:cs=""/>
                <w:kern w:val="0"/>
                <w:sz w:val="22"/>
                <w:szCs w:val="22"/>
                <w:lang w:val="en-US" w:eastAsia="en-US" w:bidi="ar-SA"/>
              </w:rPr>
              <w:t>15</w:t>
            </w:r>
          </w:p>
        </w:tc>
        <w:tc>
          <w:tcPr>
            <w:tcW w:w="1728" w:type="dxa"/>
            <w:tcBorders/>
          </w:tcPr>
          <w:p>
            <w:pPr>
              <w:pStyle w:val="Normal"/>
              <w:widowControl/>
              <w:spacing w:lineRule="auto" w:line="240" w:before="0" w:after="0"/>
              <w:jc w:val="left"/>
              <w:rPr>
                <w:rFonts w:ascii="Cambria" w:hAnsi="Cambria" w:eastAsia="ＭＳ 明朝" w:cs=""/>
                <w:kern w:val="0"/>
                <w:sz w:val="22"/>
                <w:szCs w:val="22"/>
                <w:lang w:val="en-US" w:eastAsia="en-US" w:bidi="ar-SA"/>
              </w:rPr>
            </w:pPr>
            <w:r>
              <w:rPr>
                <w:rFonts w:eastAsia="ＭＳ 明朝" w:cs=""/>
                <w:kern w:val="0"/>
                <w:sz w:val="22"/>
                <w:szCs w:val="22"/>
                <w:lang w:val="en-US" w:eastAsia="en-US" w:bidi="ar-SA"/>
              </w:rPr>
              <w:t>3.5</w:t>
            </w:r>
          </w:p>
        </w:tc>
        <w:tc>
          <w:tcPr>
            <w:tcW w:w="1728" w:type="dxa"/>
            <w:tcBorders/>
          </w:tcPr>
          <w:p>
            <w:pPr>
              <w:pStyle w:val="Normal"/>
              <w:widowControl/>
              <w:spacing w:lineRule="auto" w:line="240" w:before="0" w:after="0"/>
              <w:jc w:val="left"/>
              <w:rPr>
                <w:rFonts w:ascii="Cambria" w:hAnsi="Cambria" w:eastAsia="ＭＳ 明朝" w:cs=""/>
                <w:kern w:val="0"/>
                <w:sz w:val="22"/>
                <w:szCs w:val="22"/>
                <w:lang w:val="en-US" w:eastAsia="en-US" w:bidi="ar-SA"/>
              </w:rPr>
            </w:pPr>
            <w:r>
              <w:rPr>
                <w:rFonts w:eastAsia="ＭＳ 明朝" w:cs=""/>
                <w:kern w:val="0"/>
                <w:sz w:val="22"/>
                <w:szCs w:val="22"/>
                <w:lang w:val="en-US" w:eastAsia="en-US" w:bidi="ar-SA"/>
              </w:rPr>
              <w:t>200</w:t>
            </w:r>
          </w:p>
        </w:tc>
      </w:tr>
      <w:tr>
        <w:trPr/>
        <w:tc>
          <w:tcPr>
            <w:tcW w:w="1728" w:type="dxa"/>
            <w:tcBorders/>
          </w:tcPr>
          <w:p>
            <w:pPr>
              <w:pStyle w:val="Normal"/>
              <w:widowControl/>
              <w:spacing w:lineRule="auto" w:line="240" w:before="0" w:after="0"/>
              <w:jc w:val="left"/>
              <w:rPr>
                <w:rFonts w:ascii="Cambria" w:hAnsi="Cambria" w:eastAsia="ＭＳ 明朝" w:cs=""/>
                <w:kern w:val="0"/>
                <w:sz w:val="22"/>
                <w:szCs w:val="22"/>
                <w:lang w:val="en-US" w:eastAsia="en-US" w:bidi="ar-SA"/>
              </w:rPr>
            </w:pPr>
            <w:r>
              <w:rPr>
                <w:rFonts w:eastAsia="ＭＳ 明朝" w:cs=""/>
                <w:kern w:val="0"/>
                <w:sz w:val="22"/>
                <w:szCs w:val="22"/>
                <w:lang w:val="en-US" w:eastAsia="en-US" w:bidi="ar-SA"/>
              </w:rPr>
              <w:t>Y4</w:t>
            </w:r>
          </w:p>
        </w:tc>
        <w:tc>
          <w:tcPr>
            <w:tcW w:w="1728" w:type="dxa"/>
            <w:tcBorders/>
          </w:tcPr>
          <w:p>
            <w:pPr>
              <w:pStyle w:val="Normal"/>
              <w:widowControl/>
              <w:spacing w:lineRule="auto" w:line="240" w:before="0" w:after="0"/>
              <w:jc w:val="left"/>
              <w:rPr>
                <w:rFonts w:ascii="Cambria" w:hAnsi="Cambria" w:eastAsia="ＭＳ 明朝" w:cs=""/>
                <w:kern w:val="0"/>
                <w:sz w:val="22"/>
                <w:szCs w:val="22"/>
                <w:lang w:val="en-US" w:eastAsia="en-US" w:bidi="ar-SA"/>
              </w:rPr>
            </w:pPr>
            <w:r>
              <w:rPr>
                <w:rFonts w:eastAsia="ＭＳ 明朝" w:cs=""/>
                <w:kern w:val="0"/>
                <w:sz w:val="22"/>
                <w:szCs w:val="22"/>
                <w:lang w:val="en-US" w:eastAsia="en-US" w:bidi="ar-SA"/>
              </w:rPr>
              <w:t>25</w:t>
            </w:r>
          </w:p>
        </w:tc>
        <w:tc>
          <w:tcPr>
            <w:tcW w:w="1728" w:type="dxa"/>
            <w:tcBorders/>
          </w:tcPr>
          <w:p>
            <w:pPr>
              <w:pStyle w:val="Normal"/>
              <w:widowControl/>
              <w:spacing w:lineRule="auto" w:line="240" w:before="0" w:after="0"/>
              <w:jc w:val="left"/>
              <w:rPr>
                <w:rFonts w:ascii="Cambria" w:hAnsi="Cambria" w:eastAsia="ＭＳ 明朝" w:cs=""/>
                <w:kern w:val="0"/>
                <w:sz w:val="22"/>
                <w:szCs w:val="22"/>
                <w:lang w:val="en-US" w:eastAsia="en-US" w:bidi="ar-SA"/>
              </w:rPr>
            </w:pPr>
            <w:r>
              <w:rPr>
                <w:rFonts w:eastAsia="ＭＳ 明朝" w:cs=""/>
                <w:kern w:val="0"/>
                <w:sz w:val="22"/>
                <w:szCs w:val="22"/>
                <w:lang w:val="en-US" w:eastAsia="en-US" w:bidi="ar-SA"/>
              </w:rPr>
              <w:t>18</w:t>
            </w:r>
          </w:p>
        </w:tc>
        <w:tc>
          <w:tcPr>
            <w:tcW w:w="1728" w:type="dxa"/>
            <w:tcBorders/>
          </w:tcPr>
          <w:p>
            <w:pPr>
              <w:pStyle w:val="Normal"/>
              <w:widowControl/>
              <w:spacing w:lineRule="auto" w:line="240" w:before="0" w:after="0"/>
              <w:jc w:val="left"/>
              <w:rPr>
                <w:rFonts w:ascii="Cambria" w:hAnsi="Cambria" w:eastAsia="ＭＳ 明朝" w:cs=""/>
                <w:kern w:val="0"/>
                <w:sz w:val="22"/>
                <w:szCs w:val="22"/>
                <w:lang w:val="en-US" w:eastAsia="en-US" w:bidi="ar-SA"/>
              </w:rPr>
            </w:pPr>
            <w:r>
              <w:rPr>
                <w:rFonts w:eastAsia="ＭＳ 明朝" w:cs=""/>
                <w:kern w:val="0"/>
                <w:sz w:val="22"/>
                <w:szCs w:val="22"/>
                <w:lang w:val="en-US" w:eastAsia="en-US" w:bidi="ar-SA"/>
              </w:rPr>
              <w:t>4.2</w:t>
            </w:r>
          </w:p>
        </w:tc>
        <w:tc>
          <w:tcPr>
            <w:tcW w:w="1728" w:type="dxa"/>
            <w:tcBorders/>
          </w:tcPr>
          <w:p>
            <w:pPr>
              <w:pStyle w:val="Normal"/>
              <w:widowControl/>
              <w:spacing w:lineRule="auto" w:line="240" w:before="0" w:after="0"/>
              <w:jc w:val="left"/>
              <w:rPr>
                <w:rFonts w:ascii="Cambria" w:hAnsi="Cambria" w:eastAsia="ＭＳ 明朝" w:cs=""/>
                <w:kern w:val="0"/>
                <w:sz w:val="22"/>
                <w:szCs w:val="22"/>
                <w:lang w:val="en-US" w:eastAsia="en-US" w:bidi="ar-SA"/>
              </w:rPr>
            </w:pPr>
            <w:r>
              <w:rPr>
                <w:rFonts w:eastAsia="ＭＳ 明朝" w:cs=""/>
                <w:kern w:val="0"/>
                <w:sz w:val="22"/>
                <w:szCs w:val="22"/>
                <w:lang w:val="en-US" w:eastAsia="en-US" w:bidi="ar-SA"/>
              </w:rPr>
              <w:t>300</w:t>
            </w:r>
          </w:p>
        </w:tc>
      </w:tr>
      <w:tr>
        <w:trPr/>
        <w:tc>
          <w:tcPr>
            <w:tcW w:w="1728" w:type="dxa"/>
            <w:tcBorders/>
          </w:tcPr>
          <w:p>
            <w:pPr>
              <w:pStyle w:val="Normal"/>
              <w:widowControl/>
              <w:spacing w:lineRule="auto" w:line="240" w:before="0" w:after="0"/>
              <w:jc w:val="left"/>
              <w:rPr>
                <w:rFonts w:ascii="Cambria" w:hAnsi="Cambria" w:eastAsia="ＭＳ 明朝" w:cs=""/>
                <w:kern w:val="0"/>
                <w:sz w:val="22"/>
                <w:szCs w:val="22"/>
                <w:lang w:val="en-US" w:eastAsia="en-US" w:bidi="ar-SA"/>
              </w:rPr>
            </w:pPr>
            <w:r>
              <w:rPr>
                <w:rFonts w:eastAsia="ＭＳ 明朝" w:cs=""/>
                <w:kern w:val="0"/>
                <w:sz w:val="22"/>
                <w:szCs w:val="22"/>
                <w:lang w:val="en-US" w:eastAsia="en-US" w:bidi="ar-SA"/>
              </w:rPr>
              <w:t>Y5</w:t>
            </w:r>
          </w:p>
        </w:tc>
        <w:tc>
          <w:tcPr>
            <w:tcW w:w="1728" w:type="dxa"/>
            <w:tcBorders/>
          </w:tcPr>
          <w:p>
            <w:pPr>
              <w:pStyle w:val="Normal"/>
              <w:widowControl/>
              <w:spacing w:lineRule="auto" w:line="240" w:before="0" w:after="0"/>
              <w:jc w:val="left"/>
              <w:rPr>
                <w:rFonts w:ascii="Cambria" w:hAnsi="Cambria" w:eastAsia="ＭＳ 明朝" w:cs=""/>
                <w:kern w:val="0"/>
                <w:sz w:val="22"/>
                <w:szCs w:val="22"/>
                <w:lang w:val="en-US" w:eastAsia="en-US" w:bidi="ar-SA"/>
              </w:rPr>
            </w:pPr>
            <w:r>
              <w:rPr>
                <w:rFonts w:eastAsia="ＭＳ 明朝" w:cs=""/>
                <w:kern w:val="0"/>
                <w:sz w:val="22"/>
                <w:szCs w:val="22"/>
                <w:lang w:val="en-US" w:eastAsia="en-US" w:bidi="ar-SA"/>
              </w:rPr>
              <w:t>25</w:t>
            </w:r>
          </w:p>
        </w:tc>
        <w:tc>
          <w:tcPr>
            <w:tcW w:w="1728" w:type="dxa"/>
            <w:tcBorders/>
          </w:tcPr>
          <w:p>
            <w:pPr>
              <w:pStyle w:val="Normal"/>
              <w:widowControl/>
              <w:spacing w:lineRule="auto" w:line="240" w:before="0" w:after="0"/>
              <w:jc w:val="left"/>
              <w:rPr>
                <w:rFonts w:ascii="Cambria" w:hAnsi="Cambria" w:eastAsia="ＭＳ 明朝" w:cs=""/>
                <w:kern w:val="0"/>
                <w:sz w:val="22"/>
                <w:szCs w:val="22"/>
                <w:lang w:val="en-US" w:eastAsia="en-US" w:bidi="ar-SA"/>
              </w:rPr>
            </w:pPr>
            <w:r>
              <w:rPr>
                <w:rFonts w:eastAsia="ＭＳ 明朝" w:cs=""/>
                <w:kern w:val="0"/>
                <w:sz w:val="22"/>
                <w:szCs w:val="22"/>
                <w:lang w:val="en-US" w:eastAsia="en-US" w:bidi="ar-SA"/>
              </w:rPr>
              <w:t>20</w:t>
            </w:r>
          </w:p>
        </w:tc>
        <w:tc>
          <w:tcPr>
            <w:tcW w:w="1728" w:type="dxa"/>
            <w:tcBorders/>
          </w:tcPr>
          <w:p>
            <w:pPr>
              <w:pStyle w:val="Normal"/>
              <w:widowControl/>
              <w:spacing w:lineRule="auto" w:line="240" w:before="0" w:after="0"/>
              <w:jc w:val="left"/>
              <w:rPr>
                <w:rFonts w:ascii="Cambria" w:hAnsi="Cambria" w:eastAsia="ＭＳ 明朝" w:cs=""/>
                <w:kern w:val="0"/>
                <w:sz w:val="22"/>
                <w:szCs w:val="22"/>
                <w:lang w:val="en-US" w:eastAsia="en-US" w:bidi="ar-SA"/>
              </w:rPr>
            </w:pPr>
            <w:r>
              <w:rPr>
                <w:rFonts w:eastAsia="ＭＳ 明朝" w:cs=""/>
                <w:kern w:val="0"/>
                <w:sz w:val="22"/>
                <w:szCs w:val="22"/>
                <w:lang w:val="en-US" w:eastAsia="en-US" w:bidi="ar-SA"/>
              </w:rPr>
              <w:t>5</w:t>
            </w:r>
          </w:p>
        </w:tc>
        <w:tc>
          <w:tcPr>
            <w:tcW w:w="1728" w:type="dxa"/>
            <w:tcBorders/>
          </w:tcPr>
          <w:p>
            <w:pPr>
              <w:pStyle w:val="Normal"/>
              <w:widowControl/>
              <w:spacing w:lineRule="auto" w:line="240" w:before="0" w:after="0"/>
              <w:jc w:val="left"/>
              <w:rPr>
                <w:rFonts w:ascii="Cambria" w:hAnsi="Cambria" w:eastAsia="ＭＳ 明朝" w:cs=""/>
                <w:kern w:val="0"/>
                <w:sz w:val="22"/>
                <w:szCs w:val="22"/>
                <w:lang w:val="en-US" w:eastAsia="en-US" w:bidi="ar-SA"/>
              </w:rPr>
            </w:pPr>
            <w:r>
              <w:rPr>
                <w:rFonts w:eastAsia="ＭＳ 明朝" w:cs=""/>
                <w:kern w:val="0"/>
                <w:sz w:val="22"/>
                <w:szCs w:val="22"/>
                <w:lang w:val="en-US" w:eastAsia="en-US" w:bidi="ar-SA"/>
              </w:rPr>
              <w:t>400</w:t>
            </w:r>
          </w:p>
        </w:tc>
      </w:tr>
      <w:tr>
        <w:trPr/>
        <w:tc>
          <w:tcPr>
            <w:tcW w:w="1728" w:type="dxa"/>
            <w:tcBorders/>
          </w:tcPr>
          <w:p>
            <w:pPr>
              <w:pStyle w:val="Normal"/>
              <w:widowControl/>
              <w:spacing w:lineRule="auto" w:line="240" w:before="0" w:after="0"/>
              <w:jc w:val="left"/>
              <w:rPr>
                <w:rFonts w:ascii="Cambria" w:hAnsi="Cambria" w:eastAsia="ＭＳ 明朝" w:cs=""/>
                <w:kern w:val="0"/>
                <w:sz w:val="22"/>
                <w:szCs w:val="22"/>
                <w:lang w:val="en-US" w:eastAsia="en-US" w:bidi="ar-SA"/>
              </w:rPr>
            </w:pPr>
            <w:r>
              <w:rPr>
                <w:rFonts w:eastAsia="ＭＳ 明朝" w:cs=""/>
                <w:kern w:val="0"/>
                <w:sz w:val="22"/>
                <w:szCs w:val="22"/>
                <w:lang w:val="en-US" w:eastAsia="en-US" w:bidi="ar-SA"/>
              </w:rPr>
              <w:t>Total (Y1–Y5)</w:t>
            </w:r>
          </w:p>
        </w:tc>
        <w:tc>
          <w:tcPr>
            <w:tcW w:w="1728" w:type="dxa"/>
            <w:tcBorders/>
          </w:tcPr>
          <w:p>
            <w:pPr>
              <w:pStyle w:val="Normal"/>
              <w:widowControl/>
              <w:spacing w:lineRule="auto" w:line="240" w:before="0" w:after="0"/>
              <w:jc w:val="left"/>
              <w:rPr>
                <w:rFonts w:ascii="Cambria" w:hAnsi="Cambria" w:eastAsia="ＭＳ 明朝" w:cs=""/>
                <w:kern w:val="0"/>
                <w:sz w:val="22"/>
                <w:szCs w:val="22"/>
                <w:lang w:val="en-US" w:eastAsia="en-US" w:bidi="ar-SA"/>
              </w:rPr>
            </w:pPr>
            <w:r>
              <w:rPr>
                <w:rFonts w:eastAsia="ＭＳ 明朝" w:cs=""/>
                <w:kern w:val="0"/>
                <w:sz w:val="22"/>
                <w:szCs w:val="22"/>
                <w:lang w:val="en-US" w:eastAsia="en-US" w:bidi="ar-SA"/>
              </w:rPr>
              <w:t>—</w:t>
            </w:r>
          </w:p>
        </w:tc>
        <w:tc>
          <w:tcPr>
            <w:tcW w:w="1728" w:type="dxa"/>
            <w:tcBorders/>
          </w:tcPr>
          <w:p>
            <w:pPr>
              <w:pStyle w:val="Normal"/>
              <w:widowControl/>
              <w:spacing w:lineRule="auto" w:line="240" w:before="0" w:after="0"/>
              <w:jc w:val="left"/>
              <w:rPr>
                <w:rFonts w:ascii="Cambria" w:hAnsi="Cambria" w:eastAsia="ＭＳ 明朝" w:cs=""/>
                <w:kern w:val="0"/>
                <w:sz w:val="22"/>
                <w:szCs w:val="22"/>
                <w:lang w:val="en-US" w:eastAsia="en-US" w:bidi="ar-SA"/>
              </w:rPr>
            </w:pPr>
            <w:r>
              <w:rPr>
                <w:rFonts w:eastAsia="ＭＳ 明朝" w:cs=""/>
                <w:kern w:val="0"/>
                <w:sz w:val="22"/>
                <w:szCs w:val="22"/>
                <w:lang w:val="en-US" w:eastAsia="en-US" w:bidi="ar-SA"/>
              </w:rPr>
              <w:t>75</w:t>
            </w:r>
          </w:p>
        </w:tc>
        <w:tc>
          <w:tcPr>
            <w:tcW w:w="1728" w:type="dxa"/>
            <w:tcBorders/>
          </w:tcPr>
          <w:p>
            <w:pPr>
              <w:pStyle w:val="Normal"/>
              <w:widowControl/>
              <w:spacing w:lineRule="auto" w:line="240" w:before="0" w:after="0"/>
              <w:jc w:val="left"/>
              <w:rPr>
                <w:rFonts w:ascii="Cambria" w:hAnsi="Cambria" w:eastAsia="ＭＳ 明朝" w:cs=""/>
                <w:kern w:val="0"/>
                <w:sz w:val="22"/>
                <w:szCs w:val="22"/>
                <w:lang w:val="en-US" w:eastAsia="en-US" w:bidi="ar-SA"/>
              </w:rPr>
            </w:pPr>
            <w:r>
              <w:rPr>
                <w:rFonts w:eastAsia="ＭＳ 明朝" w:cs=""/>
                <w:kern w:val="0"/>
                <w:sz w:val="22"/>
                <w:szCs w:val="22"/>
                <w:lang w:val="en-US" w:eastAsia="en-US" w:bidi="ar-SA"/>
              </w:rPr>
              <w:t>17.7</w:t>
            </w:r>
          </w:p>
        </w:tc>
        <w:tc>
          <w:tcPr>
            <w:tcW w:w="1728" w:type="dxa"/>
            <w:tcBorders/>
          </w:tcPr>
          <w:p>
            <w:pPr>
              <w:pStyle w:val="Normal"/>
              <w:widowControl/>
              <w:spacing w:lineRule="auto" w:line="240" w:before="0" w:after="0"/>
              <w:jc w:val="left"/>
              <w:rPr>
                <w:rFonts w:ascii="Cambria" w:hAnsi="Cambria" w:eastAsia="ＭＳ 明朝" w:cs=""/>
                <w:kern w:val="0"/>
                <w:sz w:val="22"/>
                <w:szCs w:val="22"/>
                <w:lang w:val="en-US" w:eastAsia="en-US" w:bidi="ar-SA"/>
              </w:rPr>
            </w:pPr>
            <w:r>
              <w:rPr>
                <w:rFonts w:eastAsia="ＭＳ 明朝" w:cs=""/>
                <w:kern w:val="0"/>
                <w:sz w:val="22"/>
                <w:szCs w:val="22"/>
                <w:lang w:val="en-US" w:eastAsia="en-US" w:bidi="ar-SA"/>
              </w:rPr>
              <w:t>1000</w:t>
            </w:r>
          </w:p>
        </w:tc>
      </w:tr>
    </w:tbl>
    <w:p>
      <w:pPr>
        <w:pStyle w:val="Normal"/>
        <w:rPr/>
      </w:pPr>
      <w:r>
        <w:rPr/>
        <w:t>Key View: Scan</w:t>
        <w:noBreakHyphen/>
        <w:t>friendly KPI snapshot reinforces Terra Vita’s growth trajectory — financial, social, and environmental metrics all improving in tandem.</w:t>
      </w:r>
    </w:p>
    <w:p>
      <w:pPr>
        <w:pStyle w:val="Normal"/>
        <w:rPr/>
      </w:pPr>
      <w:r>
        <w:rPr/>
        <w:t>Investor Logic</w:t>
      </w:r>
    </w:p>
    <w:p>
      <w:pPr>
        <w:pStyle w:val="Normal"/>
        <w:rPr/>
      </w:pPr>
      <w:r>
        <w:rPr/>
        <w:t>IRR: Rising to 25% signals attractive long</w:t>
        <w:noBreakHyphen/>
        <w:t>term returns.</w:t>
      </w:r>
    </w:p>
    <w:p>
      <w:pPr>
        <w:pStyle w:val="Normal"/>
        <w:rPr/>
      </w:pPr>
      <w:r>
        <w:rPr/>
        <w:t>Jobs: Doubling to 20 by Year 5 reflects tangible social impact (total 75 jobs created over five years).</w:t>
      </w:r>
    </w:p>
    <w:p>
      <w:pPr>
        <w:pStyle w:val="Normal"/>
        <w:rPr/>
      </w:pPr>
      <w:r>
        <w:rPr/>
        <w:t>Land: Restoration from 2 ha → 5 ha (total 17.7 ha restored cumulatively) underscores ecological commitment.</w:t>
      </w:r>
    </w:p>
    <w:p>
      <w:pPr>
        <w:pStyle w:val="Normal"/>
        <w:rPr/>
      </w:pPr>
      <w:r>
        <w:rPr/>
        <w:t>Carbon Credits: Scaling from Year 2 (total 1,000 tons CO₂e over Y1–Y5) provides climate impact and revenue potential.</w:t>
      </w:r>
    </w:p>
    <w:p>
      <w:pPr>
        <w:pStyle w:val="Normal"/>
        <w:rPr/>
      </w:pPr>
      <w:r>
        <w:rPr/>
        <w:t>Visuals</w:t>
      </w:r>
    </w:p>
    <w:p>
      <w:pPr>
        <w:pStyle w:val="Normal"/>
        <w:rPr/>
      </w:pPr>
      <w:r>
        <w:rPr/>
        <w:drawing>
          <wp:inline distT="0" distB="0" distL="0" distR="0">
            <wp:extent cx="5029200" cy="3017520"/>
            <wp:effectExtent l="0" t="0" r="0" b="0"/>
            <wp:docPr id="32" name="Picture 1 Kopiëren 6"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1 Kopiëren 6" descr=""/>
                    <pic:cNvPicPr>
                      <a:picLocks noChangeAspect="1" noChangeArrowheads="1"/>
                    </pic:cNvPicPr>
                  </pic:nvPicPr>
                  <pic:blipFill>
                    <a:blip r:embed="rId33"/>
                    <a:stretch>
                      <a:fillRect/>
                    </a:stretch>
                  </pic:blipFill>
                  <pic:spPr bwMode="auto">
                    <a:xfrm>
                      <a:off x="0" y="0"/>
                      <a:ext cx="5029200" cy="3017520"/>
                    </a:xfrm>
                    <a:prstGeom prst="rect">
                      <a:avLst/>
                    </a:prstGeom>
                  </pic:spPr>
                </pic:pic>
              </a:graphicData>
            </a:graphic>
          </wp:inline>
        </w:drawing>
      </w:r>
    </w:p>
    <w:p>
      <w:pPr>
        <w:pStyle w:val="Normal"/>
        <w:rPr/>
      </w:pPr>
      <w:r>
        <w:rPr/>
        <w:drawing>
          <wp:inline distT="0" distB="0" distL="0" distR="0">
            <wp:extent cx="5029200" cy="3017520"/>
            <wp:effectExtent l="0" t="0" r="0" b="0"/>
            <wp:docPr id="33" name="Picture 2 Kopiëren 4"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2 Kopiëren 4" descr=""/>
                    <pic:cNvPicPr>
                      <a:picLocks noChangeAspect="1" noChangeArrowheads="1"/>
                    </pic:cNvPicPr>
                  </pic:nvPicPr>
                  <pic:blipFill>
                    <a:blip r:embed="rId34"/>
                    <a:stretch>
                      <a:fillRect/>
                    </a:stretch>
                  </pic:blipFill>
                  <pic:spPr bwMode="auto">
                    <a:xfrm>
                      <a:off x="0" y="0"/>
                      <a:ext cx="5029200" cy="3017520"/>
                    </a:xfrm>
                    <a:prstGeom prst="rect">
                      <a:avLst/>
                    </a:prstGeom>
                  </pic:spPr>
                </pic:pic>
              </a:graphicData>
            </a:graphic>
          </wp:inline>
        </w:drawing>
      </w:r>
    </w:p>
    <w:p>
      <w:pPr>
        <w:pStyle w:val="Normal"/>
        <w:rPr/>
      </w:pPr>
      <w:r>
        <w:rPr/>
        <w:drawing>
          <wp:inline distT="0" distB="0" distL="0" distR="0">
            <wp:extent cx="5029200" cy="3017520"/>
            <wp:effectExtent l="0" t="0" r="0" b="0"/>
            <wp:docPr id="34" name="Picture 3 Kopiëren 4"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 Kopiëren 4" descr=""/>
                    <pic:cNvPicPr>
                      <a:picLocks noChangeAspect="1" noChangeArrowheads="1"/>
                    </pic:cNvPicPr>
                  </pic:nvPicPr>
                  <pic:blipFill>
                    <a:blip r:embed="rId35"/>
                    <a:stretch>
                      <a:fillRect/>
                    </a:stretch>
                  </pic:blipFill>
                  <pic:spPr bwMode="auto">
                    <a:xfrm>
                      <a:off x="0" y="0"/>
                      <a:ext cx="5029200" cy="3017520"/>
                    </a:xfrm>
                    <a:prstGeom prst="rect">
                      <a:avLst/>
                    </a:prstGeom>
                  </pic:spPr>
                </pic:pic>
              </a:graphicData>
            </a:graphic>
          </wp:inline>
        </w:drawing>
      </w:r>
    </w:p>
    <w:p>
      <w:pPr>
        <w:pStyle w:val="Normal"/>
        <w:spacing w:before="0" w:after="0"/>
        <w:rPr/>
      </w:pPr>
      <w:r>
        <w:rPr/>
        <w:drawing>
          <wp:inline distT="0" distB="0" distL="0" distR="0">
            <wp:extent cx="5029200" cy="3017520"/>
            <wp:effectExtent l="0" t="0" r="0" b="0"/>
            <wp:docPr id="35" name="Picture 4 Kopiëren 2"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4 Kopiëren 2" descr=""/>
                    <pic:cNvPicPr>
                      <a:picLocks noChangeAspect="1" noChangeArrowheads="1"/>
                    </pic:cNvPicPr>
                  </pic:nvPicPr>
                  <pic:blipFill>
                    <a:blip r:embed="rId36"/>
                    <a:stretch>
                      <a:fillRect/>
                    </a:stretch>
                  </pic:blipFill>
                  <pic:spPr bwMode="auto">
                    <a:xfrm>
                      <a:off x="0" y="0"/>
                      <a:ext cx="5029200" cy="3017520"/>
                    </a:xfrm>
                    <a:prstGeom prst="rect">
                      <a:avLst/>
                    </a:prstGeom>
                  </pic:spPr>
                </pic:pic>
              </a:graphicData>
            </a:graphic>
          </wp:inline>
        </w:drawing>
      </w:r>
    </w:p>
    <w:p>
      <w:pPr>
        <w:pStyle w:val="Normal"/>
        <w:rPr/>
      </w:pPr>
      <w:r>
        <w:rPr/>
      </w:r>
      <w:r>
        <w:br w:type="page"/>
      </w:r>
    </w:p>
    <w:p>
      <w:pPr>
        <w:pStyle w:val="Normal"/>
        <w:spacing w:before="0" w:after="200"/>
        <w:jc w:val="center"/>
        <w:rPr/>
      </w:pPr>
      <w:r>
        <w:rPr>
          <w:b/>
          <w:sz w:val="28"/>
        </w:rPr>
        <w:t xml:space="preserve">🌱 </w:t>
      </w:r>
      <w:r>
        <w:rPr>
          <w:b/>
          <w:sz w:val="28"/>
        </w:rPr>
        <w:t>Annex G – ESG At</w:t>
        <w:noBreakHyphen/>
        <w:t>One</w:t>
        <w:noBreakHyphen/>
        <w:t>Glance</w:t>
      </w:r>
    </w:p>
    <w:p>
      <w:pPr>
        <w:pStyle w:val="Normal"/>
        <w:rPr/>
      </w:pPr>
      <w:r>
        <w:rPr/>
        <w:t>Methodology: Impact ratios derived from modelled ESG metrics, based on Terra Vita’s pre</w:t>
        <w:noBreakHyphen/>
        <w:t>launch assumptions. Validation will occur post</w:t>
        <w:noBreakHyphen/>
        <w:t>launch.</w:t>
      </w:r>
    </w:p>
    <w:p>
      <w:pPr>
        <w:pStyle w:val="Normal"/>
        <w:rPr/>
      </w:pPr>
      <w:r>
        <w:rPr/>
        <w:t>Impact Ratios Table</w:t>
      </w:r>
    </w:p>
    <w:tbl>
      <w:tblPr>
        <w:tblStyle w:val="TableGrid"/>
        <w:tblW w:w="8640" w:type="dxa"/>
        <w:jc w:val="left"/>
        <w:tblInd w:w="0" w:type="dxa"/>
        <w:tblLayout w:type="fixed"/>
        <w:tblCellMar>
          <w:top w:w="0" w:type="dxa"/>
          <w:left w:w="108" w:type="dxa"/>
          <w:bottom w:w="0" w:type="dxa"/>
          <w:right w:w="108" w:type="dxa"/>
        </w:tblCellMar>
        <w:tblLook w:firstRow="1" w:noVBand="1" w:lastRow="0" w:firstColumn="1" w:lastColumn="0" w:noHBand="0" w:val="04a0"/>
      </w:tblPr>
      <w:tblGrid>
        <w:gridCol w:w="4320"/>
        <w:gridCol w:w="4319"/>
      </w:tblGrid>
      <w:tr>
        <w:trPr/>
        <w:tc>
          <w:tcPr>
            <w:tcW w:w="4320" w:type="dxa"/>
            <w:tcBorders/>
          </w:tcPr>
          <w:p>
            <w:pPr>
              <w:pStyle w:val="Normal"/>
              <w:widowControl/>
              <w:spacing w:lineRule="auto" w:line="240" w:before="0" w:after="0"/>
              <w:jc w:val="left"/>
              <w:rPr>
                <w:rFonts w:ascii="Cambria" w:hAnsi="Cambria" w:eastAsia="ＭＳ 明朝" w:cs=""/>
                <w:kern w:val="0"/>
                <w:sz w:val="22"/>
                <w:szCs w:val="22"/>
                <w:lang w:val="en-US" w:eastAsia="en-US" w:bidi="ar-SA"/>
              </w:rPr>
            </w:pPr>
            <w:r>
              <w:rPr>
                <w:rFonts w:eastAsia="ＭＳ 明朝" w:cs=""/>
                <w:kern w:val="0"/>
                <w:sz w:val="22"/>
                <w:szCs w:val="22"/>
                <w:lang w:val="en-US" w:eastAsia="en-US" w:bidi="ar-SA"/>
              </w:rPr>
              <w:t>Metric</w:t>
            </w:r>
          </w:p>
        </w:tc>
        <w:tc>
          <w:tcPr>
            <w:tcW w:w="4319" w:type="dxa"/>
            <w:tcBorders/>
          </w:tcPr>
          <w:p>
            <w:pPr>
              <w:pStyle w:val="Normal"/>
              <w:widowControl/>
              <w:spacing w:lineRule="auto" w:line="240" w:before="0" w:after="0"/>
              <w:jc w:val="left"/>
              <w:rPr>
                <w:rFonts w:ascii="Cambria" w:hAnsi="Cambria" w:eastAsia="ＭＳ 明朝" w:cs=""/>
                <w:kern w:val="0"/>
                <w:sz w:val="22"/>
                <w:szCs w:val="22"/>
                <w:lang w:val="en-US" w:eastAsia="en-US" w:bidi="ar-SA"/>
              </w:rPr>
            </w:pPr>
            <w:r>
              <w:rPr>
                <w:rFonts w:eastAsia="ＭＳ 明朝" w:cs=""/>
                <w:kern w:val="0"/>
                <w:sz w:val="22"/>
                <w:szCs w:val="22"/>
                <w:lang w:val="en-US" w:eastAsia="en-US" w:bidi="ar-SA"/>
              </w:rPr>
              <w:t>Value</w:t>
            </w:r>
          </w:p>
        </w:tc>
      </w:tr>
      <w:tr>
        <w:trPr/>
        <w:tc>
          <w:tcPr>
            <w:tcW w:w="4320" w:type="dxa"/>
            <w:tcBorders/>
          </w:tcPr>
          <w:p>
            <w:pPr>
              <w:pStyle w:val="Normal"/>
              <w:widowControl/>
              <w:spacing w:lineRule="auto" w:line="240" w:before="0" w:after="0"/>
              <w:jc w:val="left"/>
              <w:rPr>
                <w:rFonts w:ascii="Cambria" w:hAnsi="Cambria" w:eastAsia="ＭＳ 明朝" w:cs=""/>
                <w:kern w:val="0"/>
                <w:sz w:val="22"/>
                <w:szCs w:val="22"/>
                <w:lang w:val="en-US" w:eastAsia="en-US" w:bidi="ar-SA"/>
              </w:rPr>
            </w:pPr>
            <w:r>
              <w:rPr>
                <w:rFonts w:eastAsia="ＭＳ 明朝" w:cs=""/>
                <w:kern w:val="0"/>
                <w:sz w:val="22"/>
                <w:szCs w:val="22"/>
                <w:lang w:val="en-US" w:eastAsia="en-US" w:bidi="ar-SA"/>
              </w:rPr>
              <w:t>Jobs per €35k invested</w:t>
            </w:r>
          </w:p>
        </w:tc>
        <w:tc>
          <w:tcPr>
            <w:tcW w:w="4319" w:type="dxa"/>
            <w:tcBorders/>
          </w:tcPr>
          <w:p>
            <w:pPr>
              <w:pStyle w:val="Normal"/>
              <w:widowControl/>
              <w:spacing w:lineRule="auto" w:line="240" w:before="0" w:after="0"/>
              <w:jc w:val="left"/>
              <w:rPr>
                <w:rFonts w:ascii="Cambria" w:hAnsi="Cambria" w:eastAsia="ＭＳ 明朝" w:cs=""/>
                <w:kern w:val="0"/>
                <w:sz w:val="22"/>
                <w:szCs w:val="22"/>
                <w:lang w:val="en-US" w:eastAsia="en-US" w:bidi="ar-SA"/>
              </w:rPr>
            </w:pPr>
            <w:r>
              <w:rPr>
                <w:rFonts w:eastAsia="ＭＳ 明朝" w:cs=""/>
                <w:kern w:val="0"/>
                <w:sz w:val="22"/>
                <w:szCs w:val="22"/>
                <w:lang w:val="en-US" w:eastAsia="en-US" w:bidi="ar-SA"/>
              </w:rPr>
              <w:t>1</w:t>
            </w:r>
          </w:p>
        </w:tc>
      </w:tr>
      <w:tr>
        <w:trPr/>
        <w:tc>
          <w:tcPr>
            <w:tcW w:w="4320" w:type="dxa"/>
            <w:tcBorders/>
          </w:tcPr>
          <w:p>
            <w:pPr>
              <w:pStyle w:val="Normal"/>
              <w:widowControl/>
              <w:spacing w:lineRule="auto" w:line="240" w:before="0" w:after="0"/>
              <w:jc w:val="left"/>
              <w:rPr>
                <w:rFonts w:ascii="Cambria" w:hAnsi="Cambria" w:eastAsia="ＭＳ 明朝" w:cs=""/>
                <w:kern w:val="0"/>
                <w:sz w:val="22"/>
                <w:szCs w:val="22"/>
                <w:lang w:val="en-US" w:eastAsia="en-US" w:bidi="ar-SA"/>
              </w:rPr>
            </w:pPr>
            <w:r>
              <w:rPr>
                <w:rFonts w:eastAsia="ＭＳ 明朝" w:cs=""/>
                <w:kern w:val="0"/>
                <w:sz w:val="22"/>
                <w:szCs w:val="22"/>
                <w:lang w:val="en-US" w:eastAsia="en-US" w:bidi="ar-SA"/>
              </w:rPr>
              <w:t>CO₂ offset per hectare (tons/year)</w:t>
            </w:r>
          </w:p>
        </w:tc>
        <w:tc>
          <w:tcPr>
            <w:tcW w:w="4319" w:type="dxa"/>
            <w:tcBorders/>
          </w:tcPr>
          <w:p>
            <w:pPr>
              <w:pStyle w:val="Normal"/>
              <w:widowControl/>
              <w:spacing w:lineRule="auto" w:line="240" w:before="0" w:after="0"/>
              <w:jc w:val="left"/>
              <w:rPr>
                <w:rFonts w:ascii="Cambria" w:hAnsi="Cambria" w:eastAsia="ＭＳ 明朝" w:cs=""/>
                <w:kern w:val="0"/>
                <w:sz w:val="22"/>
                <w:szCs w:val="22"/>
                <w:lang w:val="en-US" w:eastAsia="en-US" w:bidi="ar-SA"/>
              </w:rPr>
            </w:pPr>
            <w:r>
              <w:rPr>
                <w:rFonts w:eastAsia="ＭＳ 明朝" w:cs=""/>
                <w:kern w:val="0"/>
                <w:sz w:val="22"/>
                <w:szCs w:val="22"/>
                <w:lang w:val="en-US" w:eastAsia="en-US" w:bidi="ar-SA"/>
              </w:rPr>
              <w:t>5</w:t>
            </w:r>
          </w:p>
        </w:tc>
      </w:tr>
      <w:tr>
        <w:trPr/>
        <w:tc>
          <w:tcPr>
            <w:tcW w:w="4320" w:type="dxa"/>
            <w:tcBorders/>
          </w:tcPr>
          <w:p>
            <w:pPr>
              <w:pStyle w:val="Normal"/>
              <w:widowControl/>
              <w:spacing w:lineRule="auto" w:line="240" w:before="0" w:after="0"/>
              <w:jc w:val="left"/>
              <w:rPr>
                <w:rFonts w:ascii="Cambria" w:hAnsi="Cambria" w:eastAsia="ＭＳ 明朝" w:cs=""/>
                <w:kern w:val="0"/>
                <w:sz w:val="22"/>
                <w:szCs w:val="22"/>
                <w:lang w:val="en-US" w:eastAsia="en-US" w:bidi="ar-SA"/>
              </w:rPr>
            </w:pPr>
            <w:r>
              <w:rPr>
                <w:rFonts w:eastAsia="ＭＳ 明朝" w:cs=""/>
                <w:kern w:val="0"/>
                <w:sz w:val="22"/>
                <w:szCs w:val="22"/>
                <w:lang w:val="en-US" w:eastAsia="en-US" w:bidi="ar-SA"/>
              </w:rPr>
              <w:t>Community workshops per year (from Y2)</w:t>
            </w:r>
          </w:p>
        </w:tc>
        <w:tc>
          <w:tcPr>
            <w:tcW w:w="4319" w:type="dxa"/>
            <w:tcBorders/>
          </w:tcPr>
          <w:p>
            <w:pPr>
              <w:pStyle w:val="Normal"/>
              <w:widowControl/>
              <w:spacing w:lineRule="auto" w:line="240" w:before="0" w:after="0"/>
              <w:jc w:val="left"/>
              <w:rPr>
                <w:rFonts w:ascii="Cambria" w:hAnsi="Cambria" w:eastAsia="ＭＳ 明朝" w:cs=""/>
                <w:kern w:val="0"/>
                <w:sz w:val="22"/>
                <w:szCs w:val="22"/>
                <w:lang w:val="en-US" w:eastAsia="en-US" w:bidi="ar-SA"/>
              </w:rPr>
            </w:pPr>
            <w:r>
              <w:rPr>
                <w:rFonts w:eastAsia="ＭＳ 明朝" w:cs=""/>
                <w:kern w:val="0"/>
                <w:sz w:val="22"/>
                <w:szCs w:val="22"/>
                <w:lang w:val="en-US" w:eastAsia="en-US" w:bidi="ar-SA"/>
              </w:rPr>
              <w:t>3</w:t>
            </w:r>
          </w:p>
        </w:tc>
      </w:tr>
    </w:tbl>
    <w:p>
      <w:pPr>
        <w:pStyle w:val="Normal"/>
        <w:rPr/>
      </w:pPr>
      <w:r>
        <w:rPr/>
        <w:t>Key View: Impact ratios make ESG tangible and memorable for investors — linking capital directly to jobs, carbon offsets, and community engagement.</w:t>
      </w:r>
    </w:p>
    <w:p>
      <w:pPr>
        <w:pStyle w:val="Normal"/>
        <w:rPr/>
      </w:pPr>
      <w:r>
        <w:rPr/>
        <w:t>Investor Logic</w:t>
      </w:r>
    </w:p>
    <w:p>
      <w:pPr>
        <w:pStyle w:val="Normal"/>
        <w:rPr/>
      </w:pPr>
      <w:r>
        <w:rPr/>
        <w:t>Jobs: Every €35k invested translates into 1 new job, demonstrating efficiency of capital-to-impact.</w:t>
      </w:r>
    </w:p>
    <w:p>
      <w:pPr>
        <w:pStyle w:val="Normal"/>
        <w:rPr/>
      </w:pPr>
      <w:r>
        <w:rPr/>
        <w:t>Carbon: 5 tons of CO₂ offset per hectare annually strengthens Terra Vita’s climate credentials.</w:t>
      </w:r>
    </w:p>
    <w:p>
      <w:pPr>
        <w:pStyle w:val="Normal"/>
        <w:rPr/>
      </w:pPr>
      <w:r>
        <w:rPr/>
        <w:t>Community: 3 workshops per year embed Terra Vita in the local ecosystem and build trust.</w:t>
      </w:r>
    </w:p>
    <w:p>
      <w:pPr>
        <w:pStyle w:val="Normal"/>
        <w:rPr/>
      </w:pPr>
      <w:r>
        <w:rPr/>
        <w:t>Visual</w:t>
      </w:r>
    </w:p>
    <w:p>
      <w:pPr>
        <w:pStyle w:val="Normal"/>
        <w:spacing w:before="0" w:after="0"/>
        <w:rPr/>
      </w:pPr>
      <w:r>
        <w:rPr/>
        <w:drawing>
          <wp:inline distT="0" distB="0" distL="0" distR="0">
            <wp:extent cx="5029200" cy="3017520"/>
            <wp:effectExtent l="0" t="0" r="0" b="0"/>
            <wp:docPr id="36" name="Picture 1 Kopiëren 7"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1 Kopiëren 7" descr=""/>
                    <pic:cNvPicPr>
                      <a:picLocks noChangeAspect="1" noChangeArrowheads="1"/>
                    </pic:cNvPicPr>
                  </pic:nvPicPr>
                  <pic:blipFill>
                    <a:blip r:embed="rId37"/>
                    <a:stretch>
                      <a:fillRect/>
                    </a:stretch>
                  </pic:blipFill>
                  <pic:spPr bwMode="auto">
                    <a:xfrm>
                      <a:off x="0" y="0"/>
                      <a:ext cx="5029200" cy="3017520"/>
                    </a:xfrm>
                    <a:prstGeom prst="rect">
                      <a:avLst/>
                    </a:prstGeom>
                  </pic:spPr>
                </pic:pic>
              </a:graphicData>
            </a:graphic>
          </wp:inline>
        </w:drawing>
      </w:r>
    </w:p>
    <w:p>
      <w:pPr>
        <w:pStyle w:val="Normal"/>
        <w:rPr/>
      </w:pPr>
      <w:r>
        <w:rPr/>
      </w:r>
      <w:r>
        <w:br w:type="page"/>
      </w:r>
    </w:p>
    <w:p>
      <w:pPr>
        <w:pStyle w:val="Normal"/>
        <w:spacing w:before="0" w:after="200"/>
        <w:jc w:val="center"/>
        <w:rPr/>
      </w:pPr>
      <w:r>
        <w:rPr>
          <w:b/>
          <w:sz w:val="28"/>
        </w:rPr>
        <w:t xml:space="preserve">📆 </w:t>
      </w:r>
      <w:r>
        <w:rPr>
          <w:b/>
          <w:sz w:val="28"/>
        </w:rPr>
        <w:t>Annex H – Version Journey Timeline</w:t>
      </w:r>
    </w:p>
    <w:p>
      <w:pPr>
        <w:pStyle w:val="Normal"/>
        <w:rPr/>
      </w:pPr>
      <w:r>
        <w:rPr/>
        <w:t>Methodology: Roadmap milestones modelled from Terra Vita’s governance and scaling plan. Forward</w:t>
        <w:noBreakHyphen/>
        <w:t>looking estimates; execution will be validated post</w:t>
        <w:noBreakHyphen/>
        <w:t>launch.</w:t>
      </w:r>
    </w:p>
    <w:p>
      <w:pPr>
        <w:pStyle w:val="Normal"/>
        <w:rPr/>
      </w:pPr>
      <w:r>
        <w:rPr/>
        <w:t>Version Journey Timeline Table</w:t>
      </w:r>
    </w:p>
    <w:tbl>
      <w:tblPr>
        <w:tblStyle w:val="TableGrid"/>
        <w:tblW w:w="8640" w:type="dxa"/>
        <w:jc w:val="left"/>
        <w:tblInd w:w="0" w:type="dxa"/>
        <w:tblLayout w:type="fixed"/>
        <w:tblCellMar>
          <w:top w:w="0" w:type="dxa"/>
          <w:left w:w="108" w:type="dxa"/>
          <w:bottom w:w="0" w:type="dxa"/>
          <w:right w:w="108" w:type="dxa"/>
        </w:tblCellMar>
        <w:tblLook w:firstRow="1" w:noVBand="1" w:lastRow="0" w:firstColumn="1" w:lastColumn="0" w:noHBand="0" w:val="04a0"/>
      </w:tblPr>
      <w:tblGrid>
        <w:gridCol w:w="4320"/>
        <w:gridCol w:w="4319"/>
      </w:tblGrid>
      <w:tr>
        <w:trPr/>
        <w:tc>
          <w:tcPr>
            <w:tcW w:w="4320" w:type="dxa"/>
            <w:tcBorders/>
          </w:tcPr>
          <w:p>
            <w:pPr>
              <w:pStyle w:val="Normal"/>
              <w:widowControl/>
              <w:spacing w:lineRule="auto" w:line="240" w:before="0" w:after="0"/>
              <w:jc w:val="left"/>
              <w:rPr>
                <w:rFonts w:ascii="Cambria" w:hAnsi="Cambria" w:eastAsia="ＭＳ 明朝" w:cs=""/>
                <w:kern w:val="0"/>
                <w:sz w:val="22"/>
                <w:szCs w:val="22"/>
                <w:lang w:val="en-US" w:eastAsia="en-US" w:bidi="ar-SA"/>
              </w:rPr>
            </w:pPr>
            <w:r>
              <w:rPr>
                <w:rFonts w:eastAsia="ＭＳ 明朝" w:cs=""/>
                <w:kern w:val="0"/>
                <w:sz w:val="22"/>
                <w:szCs w:val="22"/>
                <w:lang w:val="en-US" w:eastAsia="en-US" w:bidi="ar-SA"/>
              </w:rPr>
              <w:t>Phase</w:t>
            </w:r>
          </w:p>
        </w:tc>
        <w:tc>
          <w:tcPr>
            <w:tcW w:w="4319" w:type="dxa"/>
            <w:tcBorders/>
          </w:tcPr>
          <w:p>
            <w:pPr>
              <w:pStyle w:val="Normal"/>
              <w:widowControl/>
              <w:spacing w:lineRule="auto" w:line="240" w:before="0" w:after="0"/>
              <w:jc w:val="left"/>
              <w:rPr>
                <w:rFonts w:ascii="Cambria" w:hAnsi="Cambria" w:eastAsia="ＭＳ 明朝" w:cs=""/>
                <w:kern w:val="0"/>
                <w:sz w:val="22"/>
                <w:szCs w:val="22"/>
                <w:lang w:val="en-US" w:eastAsia="en-US" w:bidi="ar-SA"/>
              </w:rPr>
            </w:pPr>
            <w:r>
              <w:rPr>
                <w:rFonts w:eastAsia="ＭＳ 明朝" w:cs=""/>
                <w:kern w:val="0"/>
                <w:sz w:val="22"/>
                <w:szCs w:val="22"/>
                <w:lang w:val="en-US" w:eastAsia="en-US" w:bidi="ar-SA"/>
              </w:rPr>
              <w:t>Milestones</w:t>
            </w:r>
          </w:p>
        </w:tc>
      </w:tr>
      <w:tr>
        <w:trPr/>
        <w:tc>
          <w:tcPr>
            <w:tcW w:w="4320" w:type="dxa"/>
            <w:tcBorders/>
          </w:tcPr>
          <w:p>
            <w:pPr>
              <w:pStyle w:val="Normal"/>
              <w:widowControl/>
              <w:spacing w:lineRule="auto" w:line="240" w:before="0" w:after="0"/>
              <w:jc w:val="left"/>
              <w:rPr>
                <w:rFonts w:ascii="Cambria" w:hAnsi="Cambria" w:eastAsia="ＭＳ 明朝" w:cs=""/>
                <w:kern w:val="0"/>
                <w:sz w:val="22"/>
                <w:szCs w:val="22"/>
                <w:lang w:val="en-US" w:eastAsia="en-US" w:bidi="ar-SA"/>
              </w:rPr>
            </w:pPr>
            <w:r>
              <w:rPr>
                <w:rFonts w:eastAsia="ＭＳ 明朝" w:cs=""/>
                <w:kern w:val="0"/>
                <w:sz w:val="22"/>
                <w:szCs w:val="22"/>
                <w:lang w:val="en-US" w:eastAsia="en-US" w:bidi="ar-SA"/>
              </w:rPr>
              <w:t>Year 1</w:t>
            </w:r>
          </w:p>
        </w:tc>
        <w:tc>
          <w:tcPr>
            <w:tcW w:w="4319" w:type="dxa"/>
            <w:tcBorders/>
          </w:tcPr>
          <w:p>
            <w:pPr>
              <w:pStyle w:val="Normal"/>
              <w:widowControl/>
              <w:spacing w:lineRule="auto" w:line="240" w:before="0" w:after="0"/>
              <w:jc w:val="left"/>
              <w:rPr>
                <w:rFonts w:ascii="Cambria" w:hAnsi="Cambria" w:eastAsia="ＭＳ 明朝" w:cs=""/>
                <w:kern w:val="0"/>
                <w:sz w:val="22"/>
                <w:szCs w:val="22"/>
                <w:lang w:val="en-US" w:eastAsia="en-US" w:bidi="ar-SA"/>
              </w:rPr>
            </w:pPr>
            <w:r>
              <w:rPr>
                <w:rFonts w:eastAsia="ＭＳ 明朝" w:cs=""/>
                <w:kern w:val="0"/>
                <w:sz w:val="22"/>
                <w:szCs w:val="22"/>
                <w:lang w:val="en-US" w:eastAsia="en-US" w:bidi="ar-SA"/>
              </w:rPr>
              <w:t>Foundation → Infrastructure → Product Prep → Market Activation</w:t>
            </w:r>
          </w:p>
        </w:tc>
      </w:tr>
      <w:tr>
        <w:trPr/>
        <w:tc>
          <w:tcPr>
            <w:tcW w:w="4320" w:type="dxa"/>
            <w:tcBorders/>
          </w:tcPr>
          <w:p>
            <w:pPr>
              <w:pStyle w:val="Normal"/>
              <w:widowControl/>
              <w:spacing w:lineRule="auto" w:line="240" w:before="0" w:after="0"/>
              <w:jc w:val="left"/>
              <w:rPr>
                <w:rFonts w:ascii="Cambria" w:hAnsi="Cambria" w:eastAsia="ＭＳ 明朝" w:cs=""/>
                <w:kern w:val="0"/>
                <w:sz w:val="22"/>
                <w:szCs w:val="22"/>
                <w:lang w:val="en-US" w:eastAsia="en-US" w:bidi="ar-SA"/>
              </w:rPr>
            </w:pPr>
            <w:r>
              <w:rPr>
                <w:rFonts w:eastAsia="ＭＳ 明朝" w:cs=""/>
                <w:kern w:val="0"/>
                <w:sz w:val="22"/>
                <w:szCs w:val="22"/>
                <w:lang w:val="en-US" w:eastAsia="en-US" w:bidi="ar-SA"/>
              </w:rPr>
              <w:t>Year 2</w:t>
            </w:r>
          </w:p>
        </w:tc>
        <w:tc>
          <w:tcPr>
            <w:tcW w:w="4319" w:type="dxa"/>
            <w:tcBorders/>
          </w:tcPr>
          <w:p>
            <w:pPr>
              <w:pStyle w:val="Normal"/>
              <w:widowControl/>
              <w:spacing w:lineRule="auto" w:line="240" w:before="0" w:after="0"/>
              <w:jc w:val="left"/>
              <w:rPr>
                <w:rFonts w:ascii="Cambria" w:hAnsi="Cambria" w:eastAsia="ＭＳ 明朝" w:cs=""/>
                <w:kern w:val="0"/>
                <w:sz w:val="22"/>
                <w:szCs w:val="22"/>
                <w:lang w:val="en-US" w:eastAsia="en-US" w:bidi="ar-SA"/>
              </w:rPr>
            </w:pPr>
            <w:r>
              <w:rPr>
                <w:rFonts w:eastAsia="ＭＳ 明朝" w:cs=""/>
                <w:kern w:val="0"/>
                <w:sz w:val="22"/>
                <w:szCs w:val="22"/>
                <w:lang w:val="en-US" w:eastAsia="en-US" w:bidi="ar-SA"/>
              </w:rPr>
              <w:t>Scaling lodges, workshops, oils distribution</w:t>
            </w:r>
          </w:p>
        </w:tc>
      </w:tr>
      <w:tr>
        <w:trPr/>
        <w:tc>
          <w:tcPr>
            <w:tcW w:w="4320" w:type="dxa"/>
            <w:tcBorders/>
          </w:tcPr>
          <w:p>
            <w:pPr>
              <w:pStyle w:val="Normal"/>
              <w:widowControl/>
              <w:spacing w:lineRule="auto" w:line="240" w:before="0" w:after="0"/>
              <w:jc w:val="left"/>
              <w:rPr>
                <w:rFonts w:ascii="Cambria" w:hAnsi="Cambria" w:eastAsia="ＭＳ 明朝" w:cs=""/>
                <w:kern w:val="0"/>
                <w:sz w:val="22"/>
                <w:szCs w:val="22"/>
                <w:lang w:val="en-US" w:eastAsia="en-US" w:bidi="ar-SA"/>
              </w:rPr>
            </w:pPr>
            <w:r>
              <w:rPr>
                <w:rFonts w:eastAsia="ＭＳ 明朝" w:cs=""/>
                <w:kern w:val="0"/>
                <w:sz w:val="22"/>
                <w:szCs w:val="22"/>
                <w:lang w:val="en-US" w:eastAsia="en-US" w:bidi="ar-SA"/>
              </w:rPr>
              <w:t>Years 3–5</w:t>
            </w:r>
          </w:p>
        </w:tc>
        <w:tc>
          <w:tcPr>
            <w:tcW w:w="4319" w:type="dxa"/>
            <w:tcBorders/>
          </w:tcPr>
          <w:p>
            <w:pPr>
              <w:pStyle w:val="Normal"/>
              <w:widowControl/>
              <w:spacing w:lineRule="auto" w:line="240" w:before="0" w:after="0"/>
              <w:jc w:val="left"/>
              <w:rPr>
                <w:rFonts w:ascii="Cambria" w:hAnsi="Cambria" w:eastAsia="ＭＳ 明朝" w:cs=""/>
                <w:kern w:val="0"/>
                <w:sz w:val="22"/>
                <w:szCs w:val="22"/>
                <w:lang w:val="en-US" w:eastAsia="en-US" w:bidi="ar-SA"/>
              </w:rPr>
            </w:pPr>
            <w:r>
              <w:rPr>
                <w:rFonts w:eastAsia="ＭＳ 明朝" w:cs=""/>
                <w:kern w:val="0"/>
                <w:sz w:val="22"/>
                <w:szCs w:val="22"/>
                <w:lang w:val="en-US" w:eastAsia="en-US" w:bidi="ar-SA"/>
              </w:rPr>
              <w:t>Regional eco</w:t>
              <w:noBreakHyphen/>
              <w:t>tourism + product diversification</w:t>
            </w:r>
          </w:p>
        </w:tc>
      </w:tr>
    </w:tbl>
    <w:p>
      <w:pPr>
        <w:pStyle w:val="Normal"/>
        <w:rPr/>
      </w:pPr>
      <w:r>
        <w:rPr/>
        <w:t>Key View: Governance close — every milestone intentional, every version logged. The roadmap demonstrates discipline in execution and scaling.</w:t>
      </w:r>
    </w:p>
    <w:p>
      <w:pPr>
        <w:pStyle w:val="Normal"/>
        <w:rPr/>
      </w:pPr>
      <w:r>
        <w:rPr/>
        <w:t>Investor Logic</w:t>
      </w:r>
    </w:p>
    <w:p>
      <w:pPr>
        <w:pStyle w:val="Normal"/>
        <w:rPr/>
      </w:pPr>
      <w:r>
        <w:rPr/>
        <w:t>Year 1: Establishes foundation and market entry readiness.</w:t>
      </w:r>
    </w:p>
    <w:p>
      <w:pPr>
        <w:pStyle w:val="Normal"/>
        <w:rPr/>
      </w:pPr>
      <w:r>
        <w:rPr/>
        <w:t>Year 2: Focused on scaling operations and product lines.</w:t>
      </w:r>
    </w:p>
    <w:p>
      <w:pPr>
        <w:pStyle w:val="Normal"/>
        <w:rPr/>
      </w:pPr>
      <w:r>
        <w:rPr/>
        <w:t>Years 3–5: Expansion into regional eco</w:t>
        <w:noBreakHyphen/>
        <w:t>tourism and diversification ensures long</w:t>
        <w:noBreakHyphen/>
        <w:t>term resilience.</w:t>
      </w:r>
    </w:p>
    <w:p>
      <w:pPr>
        <w:pStyle w:val="Normal"/>
        <w:rPr/>
      </w:pPr>
      <w:r>
        <w:rPr/>
        <w:t>Visual</w:t>
      </w:r>
    </w:p>
    <w:p>
      <w:pPr>
        <w:pStyle w:val="Normal"/>
        <w:spacing w:before="0" w:after="0"/>
        <w:rPr/>
      </w:pPr>
      <w:r>
        <w:rPr/>
        <w:drawing>
          <wp:inline distT="0" distB="0" distL="0" distR="0">
            <wp:extent cx="5486400" cy="2057400"/>
            <wp:effectExtent l="0" t="0" r="0" b="0"/>
            <wp:docPr id="37" name="Picture 1 Kopiëren 8"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1 Kopiëren 8" descr=""/>
                    <pic:cNvPicPr>
                      <a:picLocks noChangeAspect="1" noChangeArrowheads="1"/>
                    </pic:cNvPicPr>
                  </pic:nvPicPr>
                  <pic:blipFill>
                    <a:blip r:embed="rId38"/>
                    <a:stretch>
                      <a:fillRect/>
                    </a:stretch>
                  </pic:blipFill>
                  <pic:spPr bwMode="auto">
                    <a:xfrm>
                      <a:off x="0" y="0"/>
                      <a:ext cx="5486400" cy="2057400"/>
                    </a:xfrm>
                    <a:prstGeom prst="rect">
                      <a:avLst/>
                    </a:prstGeom>
                  </pic:spPr>
                </pic:pic>
              </a:graphicData>
            </a:graphic>
          </wp:inline>
        </w:drawing>
      </w:r>
    </w:p>
    <w:p>
      <w:pPr>
        <w:pStyle w:val="Normal"/>
        <w:rPr/>
      </w:pPr>
      <w:r>
        <w:rPr/>
      </w:r>
      <w:r>
        <w:br w:type="page"/>
      </w:r>
    </w:p>
    <w:p>
      <w:pPr>
        <w:pStyle w:val="Heading1"/>
        <w:spacing w:before="0" w:after="0"/>
        <w:rPr/>
      </w:pPr>
      <w:r>
        <w:rPr/>
        <w:t>Changelog – Terra Vita MasterPlan</w:t>
      </w:r>
    </w:p>
    <w:tbl>
      <w:tblPr>
        <w:tblStyle w:val="TableGrid"/>
        <w:tblW w:w="8640" w:type="dxa"/>
        <w:jc w:val="left"/>
        <w:tblInd w:w="0" w:type="dxa"/>
        <w:tblLayout w:type="fixed"/>
        <w:tblCellMar>
          <w:top w:w="0" w:type="dxa"/>
          <w:left w:w="108" w:type="dxa"/>
          <w:bottom w:w="0" w:type="dxa"/>
          <w:right w:w="108" w:type="dxa"/>
        </w:tblCellMar>
        <w:tblLook w:firstRow="1" w:noVBand="1" w:lastRow="0" w:firstColumn="1" w:lastColumn="0" w:noHBand="0" w:val="04a0"/>
      </w:tblPr>
      <w:tblGrid>
        <w:gridCol w:w="2160"/>
        <w:gridCol w:w="2160"/>
        <w:gridCol w:w="2160"/>
        <w:gridCol w:w="2159"/>
      </w:tblGrid>
      <w:tr>
        <w:trPr/>
        <w:tc>
          <w:tcPr>
            <w:tcW w:w="2160" w:type="dxa"/>
            <w:tcBorders/>
          </w:tcPr>
          <w:p>
            <w:pPr>
              <w:pStyle w:val="Normal"/>
              <w:widowControl/>
              <w:suppressAutoHyphens w:val="true"/>
              <w:spacing w:lineRule="auto" w:line="240" w:before="0" w:after="0"/>
              <w:jc w:val="left"/>
              <w:rPr>
                <w:rFonts w:ascii="Cambria" w:hAnsi="Cambria" w:eastAsia="ＭＳ 明朝" w:cs=""/>
                <w:kern w:val="0"/>
                <w:sz w:val="22"/>
                <w:szCs w:val="22"/>
                <w:lang w:val="en-US" w:eastAsia="en-US" w:bidi="ar-SA"/>
              </w:rPr>
            </w:pPr>
            <w:r>
              <w:rPr>
                <w:rFonts w:eastAsia="ＭＳ 明朝" w:cs=""/>
                <w:kern w:val="0"/>
                <w:sz w:val="22"/>
                <w:szCs w:val="22"/>
                <w:lang w:val="en-US" w:eastAsia="en-US" w:bidi="ar-SA"/>
              </w:rPr>
              <w:t>Version</w:t>
            </w:r>
          </w:p>
        </w:tc>
        <w:tc>
          <w:tcPr>
            <w:tcW w:w="2160" w:type="dxa"/>
            <w:tcBorders/>
          </w:tcPr>
          <w:p>
            <w:pPr>
              <w:pStyle w:val="Normal"/>
              <w:widowControl/>
              <w:suppressAutoHyphens w:val="true"/>
              <w:spacing w:lineRule="auto" w:line="240" w:before="0" w:after="0"/>
              <w:jc w:val="left"/>
              <w:rPr>
                <w:rFonts w:ascii="Cambria" w:hAnsi="Cambria" w:eastAsia="ＭＳ 明朝" w:cs=""/>
                <w:kern w:val="0"/>
                <w:sz w:val="22"/>
                <w:szCs w:val="22"/>
                <w:lang w:val="en-US" w:eastAsia="en-US" w:bidi="ar-SA"/>
              </w:rPr>
            </w:pPr>
            <w:r>
              <w:rPr>
                <w:rFonts w:eastAsia="ＭＳ 明朝" w:cs=""/>
                <w:kern w:val="0"/>
                <w:sz w:val="22"/>
                <w:szCs w:val="22"/>
                <w:lang w:val="en-US" w:eastAsia="en-US" w:bidi="ar-SA"/>
              </w:rPr>
              <w:t>Date</w:t>
            </w:r>
          </w:p>
        </w:tc>
        <w:tc>
          <w:tcPr>
            <w:tcW w:w="2160" w:type="dxa"/>
            <w:tcBorders/>
          </w:tcPr>
          <w:p>
            <w:pPr>
              <w:pStyle w:val="Normal"/>
              <w:widowControl/>
              <w:suppressAutoHyphens w:val="true"/>
              <w:spacing w:lineRule="auto" w:line="240" w:before="0" w:after="0"/>
              <w:jc w:val="left"/>
              <w:rPr>
                <w:rFonts w:ascii="Cambria" w:hAnsi="Cambria" w:eastAsia="ＭＳ 明朝" w:cs=""/>
                <w:kern w:val="0"/>
                <w:sz w:val="22"/>
                <w:szCs w:val="22"/>
                <w:lang w:val="en-US" w:eastAsia="en-US" w:bidi="ar-SA"/>
              </w:rPr>
            </w:pPr>
            <w:r>
              <w:rPr>
                <w:rFonts w:eastAsia="ＭＳ 明朝" w:cs=""/>
                <w:kern w:val="0"/>
                <w:sz w:val="22"/>
                <w:szCs w:val="22"/>
                <w:lang w:val="en-US" w:eastAsia="en-US" w:bidi="ar-SA"/>
              </w:rPr>
              <w:t>Author(s)</w:t>
            </w:r>
          </w:p>
        </w:tc>
        <w:tc>
          <w:tcPr>
            <w:tcW w:w="2159" w:type="dxa"/>
            <w:tcBorders/>
          </w:tcPr>
          <w:p>
            <w:pPr>
              <w:pStyle w:val="Normal"/>
              <w:widowControl/>
              <w:suppressAutoHyphens w:val="true"/>
              <w:spacing w:lineRule="auto" w:line="240" w:before="0" w:after="0"/>
              <w:jc w:val="left"/>
              <w:rPr>
                <w:rFonts w:ascii="Cambria" w:hAnsi="Cambria" w:eastAsia="ＭＳ 明朝" w:cs=""/>
                <w:kern w:val="0"/>
                <w:sz w:val="22"/>
                <w:szCs w:val="22"/>
                <w:lang w:val="en-US" w:eastAsia="en-US" w:bidi="ar-SA"/>
              </w:rPr>
            </w:pPr>
            <w:r>
              <w:rPr>
                <w:rFonts w:eastAsia="ＭＳ 明朝" w:cs=""/>
                <w:kern w:val="0"/>
                <w:sz w:val="22"/>
                <w:szCs w:val="22"/>
                <w:lang w:val="en-US" w:eastAsia="en-US" w:bidi="ar-SA"/>
              </w:rPr>
              <w:t>Key Changes</w:t>
            </w:r>
          </w:p>
        </w:tc>
      </w:tr>
      <w:tr>
        <w:trPr/>
        <w:tc>
          <w:tcPr>
            <w:tcW w:w="2160" w:type="dxa"/>
            <w:tcBorders/>
          </w:tcPr>
          <w:p>
            <w:pPr>
              <w:pStyle w:val="Normal"/>
              <w:widowControl/>
              <w:suppressAutoHyphens w:val="true"/>
              <w:spacing w:lineRule="auto" w:line="240" w:before="0" w:after="0"/>
              <w:jc w:val="left"/>
              <w:rPr>
                <w:rFonts w:ascii="Cambria" w:hAnsi="Cambria" w:eastAsia="ＭＳ 明朝" w:cs=""/>
                <w:kern w:val="0"/>
                <w:sz w:val="22"/>
                <w:szCs w:val="22"/>
                <w:lang w:val="en-US" w:eastAsia="en-US" w:bidi="ar-SA"/>
              </w:rPr>
            </w:pPr>
            <w:r>
              <w:rPr>
                <w:rFonts w:eastAsia="ＭＳ 明朝" w:cs=""/>
                <w:kern w:val="0"/>
                <w:sz w:val="22"/>
                <w:szCs w:val="22"/>
                <w:lang w:val="en-US" w:eastAsia="en-US" w:bidi="ar-SA"/>
              </w:rPr>
              <w:t>v30.2</w:t>
            </w:r>
          </w:p>
        </w:tc>
        <w:tc>
          <w:tcPr>
            <w:tcW w:w="2160" w:type="dxa"/>
            <w:tcBorders/>
          </w:tcPr>
          <w:p>
            <w:pPr>
              <w:pStyle w:val="Normal"/>
              <w:widowControl/>
              <w:suppressAutoHyphens w:val="true"/>
              <w:spacing w:lineRule="auto" w:line="240" w:before="0" w:after="0"/>
              <w:jc w:val="left"/>
              <w:rPr>
                <w:rFonts w:ascii="Cambria" w:hAnsi="Cambria" w:eastAsia="ＭＳ 明朝" w:cs=""/>
                <w:kern w:val="0"/>
                <w:sz w:val="22"/>
                <w:szCs w:val="22"/>
                <w:lang w:val="en-US" w:eastAsia="en-US" w:bidi="ar-SA"/>
              </w:rPr>
            </w:pPr>
            <w:r>
              <w:rPr>
                <w:rFonts w:eastAsia="ＭＳ 明朝" w:cs=""/>
                <w:kern w:val="0"/>
                <w:sz w:val="22"/>
                <w:szCs w:val="22"/>
                <w:lang w:val="en-US" w:eastAsia="en-US" w:bidi="ar-SA"/>
              </w:rPr>
              <w:t>Sep 2025</w:t>
            </w:r>
          </w:p>
        </w:tc>
        <w:tc>
          <w:tcPr>
            <w:tcW w:w="2160" w:type="dxa"/>
            <w:tcBorders/>
          </w:tcPr>
          <w:p>
            <w:pPr>
              <w:pStyle w:val="Normal"/>
              <w:widowControl/>
              <w:suppressAutoHyphens w:val="true"/>
              <w:spacing w:lineRule="auto" w:line="240" w:before="0" w:after="0"/>
              <w:jc w:val="left"/>
              <w:rPr>
                <w:rFonts w:ascii="Cambria" w:hAnsi="Cambria" w:eastAsia="ＭＳ 明朝" w:cs=""/>
                <w:kern w:val="0"/>
                <w:sz w:val="22"/>
                <w:szCs w:val="22"/>
                <w:lang w:val="en-US" w:eastAsia="en-US" w:bidi="ar-SA"/>
              </w:rPr>
            </w:pPr>
            <w:r>
              <w:rPr>
                <w:rFonts w:eastAsia="ＭＳ 明朝" w:cs=""/>
                <w:kern w:val="0"/>
                <w:sz w:val="22"/>
                <w:szCs w:val="22"/>
                <w:lang w:val="en-US" w:eastAsia="en-US" w:bidi="ar-SA"/>
              </w:rPr>
              <w:t>Theresa Van Der Walt, Yuri van de Wal</w:t>
            </w:r>
          </w:p>
        </w:tc>
        <w:tc>
          <w:tcPr>
            <w:tcW w:w="2159" w:type="dxa"/>
            <w:tcBorders/>
          </w:tcPr>
          <w:p>
            <w:pPr>
              <w:pStyle w:val="Normal"/>
              <w:widowControl/>
              <w:suppressAutoHyphens w:val="true"/>
              <w:spacing w:lineRule="auto" w:line="240" w:before="0" w:after="0"/>
              <w:jc w:val="left"/>
              <w:rPr>
                <w:rFonts w:ascii="Cambria" w:hAnsi="Cambria" w:eastAsia="ＭＳ 明朝" w:cs=""/>
                <w:kern w:val="0"/>
                <w:sz w:val="22"/>
                <w:szCs w:val="22"/>
                <w:lang w:val="en-US" w:eastAsia="en-US" w:bidi="ar-SA"/>
              </w:rPr>
            </w:pPr>
            <w:r>
              <w:rPr>
                <w:rFonts w:eastAsia="ＭＳ 明朝" w:cs=""/>
                <w:kern w:val="0"/>
                <w:sz w:val="22"/>
                <w:szCs w:val="22"/>
                <w:lang w:val="en-US" w:eastAsia="en-US" w:bidi="ar-SA"/>
              </w:rPr>
              <w:t>Integrated visuals and snapshots.</w:t>
            </w:r>
          </w:p>
        </w:tc>
      </w:tr>
      <w:tr>
        <w:trPr/>
        <w:tc>
          <w:tcPr>
            <w:tcW w:w="2160" w:type="dxa"/>
            <w:tcBorders/>
          </w:tcPr>
          <w:p>
            <w:pPr>
              <w:pStyle w:val="Normal"/>
              <w:widowControl/>
              <w:suppressAutoHyphens w:val="true"/>
              <w:spacing w:lineRule="auto" w:line="240" w:before="0" w:after="0"/>
              <w:jc w:val="left"/>
              <w:rPr>
                <w:rFonts w:ascii="Cambria" w:hAnsi="Cambria" w:eastAsia="ＭＳ 明朝" w:cs=""/>
                <w:kern w:val="0"/>
                <w:sz w:val="22"/>
                <w:szCs w:val="22"/>
                <w:lang w:val="en-US" w:eastAsia="en-US" w:bidi="ar-SA"/>
              </w:rPr>
            </w:pPr>
            <w:r>
              <w:rPr>
                <w:rFonts w:eastAsia="ＭＳ 明朝" w:cs=""/>
                <w:kern w:val="0"/>
                <w:sz w:val="22"/>
                <w:szCs w:val="22"/>
                <w:lang w:val="en-US" w:eastAsia="en-US" w:bidi="ar-SA"/>
              </w:rPr>
              <w:t>v30.3</w:t>
            </w:r>
          </w:p>
        </w:tc>
        <w:tc>
          <w:tcPr>
            <w:tcW w:w="2160" w:type="dxa"/>
            <w:tcBorders/>
          </w:tcPr>
          <w:p>
            <w:pPr>
              <w:pStyle w:val="Normal"/>
              <w:widowControl/>
              <w:suppressAutoHyphens w:val="true"/>
              <w:spacing w:lineRule="auto" w:line="240" w:before="0" w:after="0"/>
              <w:jc w:val="left"/>
              <w:rPr>
                <w:rFonts w:ascii="Cambria" w:hAnsi="Cambria" w:eastAsia="ＭＳ 明朝" w:cs=""/>
                <w:kern w:val="0"/>
                <w:sz w:val="22"/>
                <w:szCs w:val="22"/>
                <w:lang w:val="en-US" w:eastAsia="en-US" w:bidi="ar-SA"/>
              </w:rPr>
            </w:pPr>
            <w:r>
              <w:rPr>
                <w:rFonts w:eastAsia="ＭＳ 明朝" w:cs=""/>
                <w:kern w:val="0"/>
                <w:sz w:val="22"/>
                <w:szCs w:val="22"/>
                <w:lang w:val="en-US" w:eastAsia="en-US" w:bidi="ar-SA"/>
              </w:rPr>
              <w:t>Oct 2025</w:t>
            </w:r>
          </w:p>
        </w:tc>
        <w:tc>
          <w:tcPr>
            <w:tcW w:w="2160" w:type="dxa"/>
            <w:tcBorders/>
          </w:tcPr>
          <w:p>
            <w:pPr>
              <w:pStyle w:val="Normal"/>
              <w:widowControl/>
              <w:suppressAutoHyphens w:val="true"/>
              <w:spacing w:lineRule="auto" w:line="240" w:before="0" w:after="0"/>
              <w:jc w:val="left"/>
              <w:rPr>
                <w:rFonts w:ascii="Cambria" w:hAnsi="Cambria" w:eastAsia="ＭＳ 明朝" w:cs=""/>
                <w:kern w:val="0"/>
                <w:sz w:val="22"/>
                <w:szCs w:val="22"/>
                <w:lang w:val="en-US" w:eastAsia="en-US" w:bidi="ar-SA"/>
              </w:rPr>
            </w:pPr>
            <w:r>
              <w:rPr>
                <w:rFonts w:eastAsia="ＭＳ 明朝" w:cs=""/>
                <w:kern w:val="0"/>
                <w:sz w:val="22"/>
                <w:szCs w:val="22"/>
                <w:lang w:val="en-US" w:eastAsia="en-US" w:bidi="ar-SA"/>
              </w:rPr>
              <w:t>Theresa Van Der Walt, Yuri van de Wal</w:t>
            </w:r>
          </w:p>
        </w:tc>
        <w:tc>
          <w:tcPr>
            <w:tcW w:w="2159" w:type="dxa"/>
            <w:tcBorders/>
          </w:tcPr>
          <w:p>
            <w:pPr>
              <w:pStyle w:val="Normal"/>
              <w:widowControl/>
              <w:suppressAutoHyphens w:val="true"/>
              <w:spacing w:lineRule="auto" w:line="240" w:before="0" w:after="0"/>
              <w:jc w:val="left"/>
              <w:rPr>
                <w:rFonts w:ascii="Cambria" w:hAnsi="Cambria" w:eastAsia="ＭＳ 明朝" w:cs=""/>
                <w:kern w:val="0"/>
                <w:sz w:val="22"/>
                <w:szCs w:val="22"/>
                <w:lang w:val="en-US" w:eastAsia="en-US" w:bidi="ar-SA"/>
              </w:rPr>
            </w:pPr>
            <w:r>
              <w:rPr>
                <w:rFonts w:eastAsia="ＭＳ 明朝" w:cs=""/>
                <w:kern w:val="0"/>
                <w:sz w:val="22"/>
                <w:szCs w:val="22"/>
                <w:lang w:val="en-US" w:eastAsia="en-US" w:bidi="ar-SA"/>
              </w:rPr>
              <w:t>Added Annexes A–H, NDA, branding.</w:t>
            </w:r>
          </w:p>
        </w:tc>
      </w:tr>
      <w:tr>
        <w:trPr/>
        <w:tc>
          <w:tcPr>
            <w:tcW w:w="2160" w:type="dxa"/>
            <w:tcBorders/>
          </w:tcPr>
          <w:p>
            <w:pPr>
              <w:pStyle w:val="Normal"/>
              <w:widowControl/>
              <w:suppressAutoHyphens w:val="true"/>
              <w:spacing w:lineRule="auto" w:line="240" w:before="0" w:after="0"/>
              <w:jc w:val="left"/>
              <w:rPr>
                <w:rFonts w:ascii="Cambria" w:hAnsi="Cambria" w:eastAsia="ＭＳ 明朝" w:cs=""/>
                <w:kern w:val="0"/>
                <w:sz w:val="22"/>
                <w:szCs w:val="22"/>
                <w:lang w:val="en-US" w:eastAsia="en-US" w:bidi="ar-SA"/>
              </w:rPr>
            </w:pPr>
            <w:r>
              <w:rPr>
                <w:rFonts w:eastAsia="ＭＳ 明朝" w:cs=""/>
                <w:kern w:val="0"/>
                <w:sz w:val="22"/>
                <w:szCs w:val="22"/>
                <w:lang w:val="en-US" w:eastAsia="en-US" w:bidi="ar-SA"/>
              </w:rPr>
              <w:t>v30.4</w:t>
            </w:r>
          </w:p>
        </w:tc>
        <w:tc>
          <w:tcPr>
            <w:tcW w:w="2160" w:type="dxa"/>
            <w:tcBorders/>
          </w:tcPr>
          <w:p>
            <w:pPr>
              <w:pStyle w:val="Normal"/>
              <w:widowControl/>
              <w:suppressAutoHyphens w:val="true"/>
              <w:spacing w:lineRule="auto" w:line="240" w:before="0" w:after="0"/>
              <w:jc w:val="left"/>
              <w:rPr>
                <w:rFonts w:ascii="Cambria" w:hAnsi="Cambria" w:eastAsia="ＭＳ 明朝" w:cs=""/>
                <w:kern w:val="0"/>
                <w:sz w:val="22"/>
                <w:szCs w:val="22"/>
                <w:lang w:val="en-US" w:eastAsia="en-US" w:bidi="ar-SA"/>
              </w:rPr>
            </w:pPr>
            <w:r>
              <w:rPr>
                <w:rFonts w:eastAsia="ＭＳ 明朝" w:cs=""/>
                <w:kern w:val="0"/>
                <w:sz w:val="22"/>
                <w:szCs w:val="22"/>
                <w:lang w:val="en-US" w:eastAsia="en-US" w:bidi="ar-SA"/>
              </w:rPr>
              <w:t>Oct 2025</w:t>
            </w:r>
          </w:p>
        </w:tc>
        <w:tc>
          <w:tcPr>
            <w:tcW w:w="2160" w:type="dxa"/>
            <w:tcBorders/>
          </w:tcPr>
          <w:p>
            <w:pPr>
              <w:pStyle w:val="Normal"/>
              <w:widowControl/>
              <w:suppressAutoHyphens w:val="true"/>
              <w:spacing w:lineRule="auto" w:line="240" w:before="0" w:after="0"/>
              <w:jc w:val="left"/>
              <w:rPr>
                <w:rFonts w:ascii="Cambria" w:hAnsi="Cambria" w:eastAsia="ＭＳ 明朝" w:cs=""/>
                <w:kern w:val="0"/>
                <w:sz w:val="22"/>
                <w:szCs w:val="22"/>
                <w:lang w:val="en-US" w:eastAsia="en-US" w:bidi="ar-SA"/>
              </w:rPr>
            </w:pPr>
            <w:r>
              <w:rPr>
                <w:rFonts w:eastAsia="ＭＳ 明朝" w:cs=""/>
                <w:kern w:val="0"/>
                <w:sz w:val="22"/>
                <w:szCs w:val="22"/>
                <w:lang w:val="en-US" w:eastAsia="en-US" w:bidi="ar-SA"/>
              </w:rPr>
              <w:t>Theresa Van Der Walt, Yuri van de Wal</w:t>
            </w:r>
          </w:p>
        </w:tc>
        <w:tc>
          <w:tcPr>
            <w:tcW w:w="2159" w:type="dxa"/>
            <w:tcBorders/>
          </w:tcPr>
          <w:p>
            <w:pPr>
              <w:pStyle w:val="Normal"/>
              <w:widowControl/>
              <w:suppressAutoHyphens w:val="true"/>
              <w:spacing w:lineRule="auto" w:line="240" w:before="0" w:after="0"/>
              <w:jc w:val="left"/>
              <w:rPr>
                <w:rFonts w:ascii="Cambria" w:hAnsi="Cambria" w:eastAsia="ＭＳ 明朝" w:cs=""/>
                <w:kern w:val="0"/>
                <w:sz w:val="22"/>
                <w:szCs w:val="22"/>
                <w:lang w:val="en-US" w:eastAsia="en-US" w:bidi="ar-SA"/>
              </w:rPr>
            </w:pPr>
            <w:r>
              <w:rPr>
                <w:rFonts w:eastAsia="ＭＳ 明朝" w:cs=""/>
                <w:kern w:val="0"/>
                <w:sz w:val="22"/>
                <w:szCs w:val="22"/>
                <w:lang w:val="en-US" w:eastAsia="en-US" w:bidi="ar-SA"/>
              </w:rPr>
              <w:t>Full integration incl. highlights box; final polish.</w:t>
            </w:r>
          </w:p>
        </w:tc>
      </w:tr>
    </w:tbl>
    <w:p>
      <w:pPr>
        <w:pStyle w:val="Normal"/>
        <w:rPr/>
      </w:pPr>
      <w:r>
        <w:rPr/>
      </w:r>
      <w:r>
        <w:br w:type="page"/>
      </w:r>
    </w:p>
    <w:p>
      <w:pPr>
        <w:pStyle w:val="Heading1"/>
        <w:spacing w:before="0" w:after="0"/>
        <w:rPr/>
      </w:pPr>
      <w:r>
        <w:rPr/>
        <w:t>Confidentiality Annex – NDA</w:t>
      </w:r>
    </w:p>
    <w:p>
      <w:pPr>
        <w:pStyle w:val="Normal"/>
        <w:rPr/>
      </w:pPr>
      <w:r>
        <w:rPr/>
        <w:t>Mutual Non</w:t>
        <w:noBreakHyphen/>
        <w:t>Disclosure Agreement (NDA)</w:t>
      </w:r>
    </w:p>
    <w:p>
      <w:pPr>
        <w:pStyle w:val="Normal"/>
        <w:rPr/>
      </w:pPr>
      <w:r>
        <w:rPr/>
      </w:r>
    </w:p>
    <w:p>
      <w:pPr>
        <w:pStyle w:val="Normal"/>
        <w:rPr/>
      </w:pPr>
      <w:r>
        <w:rPr/>
        <w:t>Effective Date: [___________]</w:t>
      </w:r>
    </w:p>
    <w:p>
      <w:pPr>
        <w:pStyle w:val="Normal"/>
        <w:rPr/>
      </w:pPr>
      <w:r>
        <w:rPr/>
        <w:t>This Mutual Non</w:t>
        <w:noBreakHyphen/>
        <w:t>Disclosure Agreement (the “Agreement”) is entered into by and between:</w:t>
      </w:r>
    </w:p>
    <w:p>
      <w:pPr>
        <w:pStyle w:val="Normal"/>
        <w:rPr/>
      </w:pPr>
      <w:r>
        <w:rPr/>
        <w:t>1) Terra Vita Eco Farm &amp; Retreats Pty Ltd, incorporated in South Africa, principal place of business: [___________] (“Discloser/Recipient”).</w:t>
      </w:r>
    </w:p>
    <w:p>
      <w:pPr>
        <w:pStyle w:val="Normal"/>
        <w:rPr/>
      </w:pPr>
      <w:r>
        <w:rPr/>
        <w:t>2) [Counterparty Legal Name], [jurisdiction], principal place of business: [___________] (“Discloser/Recipient”).</w:t>
      </w:r>
    </w:p>
    <w:p>
      <w:pPr>
        <w:pStyle w:val="Normal"/>
        <w:rPr/>
      </w:pPr>
      <w:r>
        <w:rPr/>
        <w:t>Each party may disclose to the other certain confidential information. The parties therefore agree as follows:</w:t>
      </w:r>
    </w:p>
    <w:p>
      <w:pPr>
        <w:pStyle w:val="Normal"/>
        <w:rPr/>
      </w:pPr>
      <w:r>
        <w:rPr/>
        <w:t>1. Purpose</w:t>
      </w:r>
    </w:p>
    <w:p>
      <w:pPr>
        <w:pStyle w:val="Normal"/>
        <w:rPr/>
      </w:pPr>
      <w:r>
        <w:rPr/>
        <w:t>The parties intend to explore a potential business and investment relationship concerning Terra Vita Eco Farm &amp; Retreats, including financing, operations, ESG initiatives, product development, and related matters (the “Purpose”).</w:t>
      </w:r>
    </w:p>
    <w:p>
      <w:pPr>
        <w:pStyle w:val="Normal"/>
        <w:rPr/>
      </w:pPr>
      <w:r>
        <w:rPr/>
        <w:t>2. Confidential Information</w:t>
      </w:r>
    </w:p>
    <w:p>
      <w:pPr>
        <w:pStyle w:val="Normal"/>
        <w:rPr/>
      </w:pPr>
      <w:r>
        <w:rPr/>
        <w:t>“</w:t>
      </w:r>
      <w:r>
        <w:rPr/>
        <w:t>Confidential Information” means any non</w:t>
        <w:noBreakHyphen/>
        <w:t>public information disclosed by either party, whether oral,</w:t>
        <w:br/>
        <w:t>visual, written, electronic, or in any other form, including but not limited to financial models,</w:t>
        <w:br/>
        <w:t>annexes, projections, business plans, investor materials, pricing, trade secrets, roadmaps, ESG</w:t>
        <w:br/>
        <w:t>data, and third</w:t>
        <w:noBreakHyphen/>
        <w:t>party information the disclosing party is obligated to keep confidential.</w:t>
      </w:r>
    </w:p>
    <w:p>
      <w:pPr>
        <w:pStyle w:val="Normal"/>
        <w:rPr/>
      </w:pPr>
      <w:r>
        <w:rPr/>
        <w:t>3. Exclusions</w:t>
      </w:r>
    </w:p>
    <w:p>
      <w:pPr>
        <w:pStyle w:val="Normal"/>
        <w:rPr/>
      </w:pPr>
      <w:r>
        <w:rPr/>
        <w:t>Confidential Information does not include information that: (a) is or becomes public through no breach; (b) was known to the receiving party prior to disclosure; (c) is independently developed without use of the Confidential Information; or (d) is rightfully obtained from a third party without restriction.</w:t>
      </w:r>
    </w:p>
    <w:p>
      <w:pPr>
        <w:pStyle w:val="Normal"/>
        <w:rPr/>
      </w:pPr>
      <w:r>
        <w:rPr/>
        <w:t>4. Obligations</w:t>
      </w:r>
    </w:p>
    <w:p>
      <w:pPr>
        <w:pStyle w:val="Normal"/>
        <w:rPr/>
      </w:pPr>
      <w:r>
        <w:rPr/>
        <w:t>The receiving party will: (i) use the Confidential Information solely for the Purpose; (ii) not</w:t>
        <w:br/>
        <w:t>disclose it to any third party except to its Representatives who need to know and who are bound by</w:t>
        <w:br/>
        <w:t>obligations no less protective; (iii) protect it using at least reasonable care; and (iv) promptly</w:t>
        <w:br/>
        <w:t>notify the disclosing party of any unauthorized use or disclosure.</w:t>
      </w:r>
    </w:p>
    <w:p>
      <w:pPr>
        <w:pStyle w:val="Normal"/>
        <w:rPr/>
      </w:pPr>
      <w:r>
        <w:rPr/>
        <w:t>5. Security &amp; Handling</w:t>
      </w:r>
    </w:p>
    <w:p>
      <w:pPr>
        <w:pStyle w:val="Normal"/>
        <w:rPr/>
      </w:pPr>
      <w:r>
        <w:rPr/>
        <w:t>The receiving party will implement reasonable technical and organizational measures to safeguard Confidential Information and will not de</w:t>
        <w:noBreakHyphen/>
        <w:t>identify, reverse engineer, or attempt to derive source code or models from disclosures unless expressly permitted in writing.</w:t>
      </w:r>
    </w:p>
    <w:p>
      <w:pPr>
        <w:pStyle w:val="Normal"/>
        <w:rPr/>
      </w:pPr>
      <w:r>
        <w:rPr/>
        <w:t>6. Term &amp; Survival</w:t>
      </w:r>
    </w:p>
    <w:p>
      <w:pPr>
        <w:pStyle w:val="Normal"/>
        <w:rPr/>
      </w:pPr>
      <w:r>
        <w:rPr/>
        <w:t>This Agreement commences on the Effective Date and continues for two (2) years, except that obligations of confidentiality and non</w:t>
        <w:noBreakHyphen/>
        <w:t>use survive for three (3) years from the last disclosure. Trade secrets are protected for so long as they remain trade secrets under applicable law.</w:t>
      </w:r>
    </w:p>
    <w:p>
      <w:pPr>
        <w:pStyle w:val="Normal"/>
        <w:rPr/>
      </w:pPr>
      <w:r>
        <w:rPr/>
        <w:t>7. Compelled Disclosure</w:t>
      </w:r>
    </w:p>
    <w:p>
      <w:pPr>
        <w:pStyle w:val="Normal"/>
        <w:rPr/>
      </w:pPr>
      <w:r>
        <w:rPr/>
        <w:t>If the receiving party is required by law or court order to disclose Confidential Information, it will (to the extent legally permitted) provide prompt written notice and cooperate to seek protective treatment.</w:t>
      </w:r>
    </w:p>
    <w:p>
      <w:pPr>
        <w:pStyle w:val="Normal"/>
        <w:rPr/>
      </w:pPr>
      <w:r>
        <w:rPr/>
        <w:t>8. No License</w:t>
      </w:r>
    </w:p>
    <w:p>
      <w:pPr>
        <w:pStyle w:val="Normal"/>
        <w:rPr/>
      </w:pPr>
      <w:r>
        <w:rPr/>
        <w:t>No rights or licenses are granted by this Agreement except the limited right to use Confidential Information for the Purpose. All Confidential Information remains the property of the disclosing party.</w:t>
      </w:r>
    </w:p>
    <w:p>
      <w:pPr>
        <w:pStyle w:val="Normal"/>
        <w:rPr/>
      </w:pPr>
      <w:r>
        <w:rPr/>
        <w:t>9. Return or Destruction</w:t>
      </w:r>
    </w:p>
    <w:p>
      <w:pPr>
        <w:pStyle w:val="Normal"/>
        <w:rPr/>
      </w:pPr>
      <w:r>
        <w:rPr/>
        <w:t>Upon written request, the receiving party will promptly return or destroy Confidential Information and certify destruction, except for archival copies retained to comply with legal or compliance requirements.</w:t>
      </w:r>
    </w:p>
    <w:p>
      <w:pPr>
        <w:pStyle w:val="Normal"/>
        <w:rPr/>
      </w:pPr>
      <w:r>
        <w:rPr/>
        <w:t>10. Remedies</w:t>
      </w:r>
    </w:p>
    <w:p>
      <w:pPr>
        <w:pStyle w:val="Normal"/>
        <w:rPr/>
      </w:pPr>
      <w:r>
        <w:rPr/>
        <w:t>The parties acknowledge that unauthorized use or disclosure may cause irreparable harm, entitling the disclosing party to seek injunctive relief in addition to any other remedies at law or in equity.</w:t>
      </w:r>
    </w:p>
    <w:p>
      <w:pPr>
        <w:pStyle w:val="Normal"/>
        <w:rPr/>
      </w:pPr>
      <w:r>
        <w:rPr/>
        <w:t>11. Non</w:t>
        <w:noBreakHyphen/>
        <w:t>Solicitation (Optional)</w:t>
      </w:r>
    </w:p>
    <w:p>
      <w:pPr>
        <w:pStyle w:val="Normal"/>
        <w:rPr/>
      </w:pPr>
      <w:r>
        <w:rPr/>
        <w:t>For twelve (12) months from the Effective Date, neither party will solicit for employment any employee of the other party with whom it had material contact in connection with the Purpose. General solicitations are excluded. (Strike if not required.)</w:t>
      </w:r>
    </w:p>
    <w:p>
      <w:pPr>
        <w:pStyle w:val="Normal"/>
        <w:rPr/>
      </w:pPr>
      <w:r>
        <w:rPr/>
        <w:t>12. Governing Law &amp; Venue</w:t>
      </w:r>
    </w:p>
    <w:p>
      <w:pPr>
        <w:pStyle w:val="Normal"/>
        <w:rPr/>
      </w:pPr>
      <w:r>
        <w:rPr/>
        <w:t>This Agreement is governed by the laws of [choose jurisdiction, e.g., the Republic of South Africa or England &amp; Wales], without regard to conflict of laws. The parties submit to the exclusive jurisdiction of the courts located in [___________].</w:t>
      </w:r>
    </w:p>
    <w:p>
      <w:pPr>
        <w:pStyle w:val="Normal"/>
        <w:rPr/>
      </w:pPr>
      <w:r>
        <w:rPr/>
        <w:t>13. Entire Agreement; Amendments</w:t>
      </w:r>
    </w:p>
    <w:p>
      <w:pPr>
        <w:pStyle w:val="Normal"/>
        <w:rPr/>
      </w:pPr>
      <w:r>
        <w:rPr/>
        <w:t>This Agreement constitutes the entire agreement regarding its subject matter and supersedes all prior or contemporaneous understandings. Any amendment must be in writing and signed by both parties.</w:t>
      </w:r>
    </w:p>
    <w:p>
      <w:pPr>
        <w:pStyle w:val="Normal"/>
        <w:rPr/>
      </w:pPr>
      <w:r>
        <w:rPr/>
        <w:t>14. Counterparts; Signatures</w:t>
      </w:r>
    </w:p>
    <w:p>
      <w:pPr>
        <w:pStyle w:val="Normal"/>
        <w:rPr/>
      </w:pPr>
      <w:r>
        <w:rPr/>
        <w:t>This Agreement may be executed in counterparts, including electronic signatures, each of which is deemed an original, together constituting one instrument.</w:t>
      </w:r>
    </w:p>
    <w:p>
      <w:pPr>
        <w:pStyle w:val="Normal"/>
        <w:rPr/>
      </w:pPr>
      <w:r>
        <w:rPr/>
        <w:t xml:space="preserve"> </w:t>
      </w:r>
    </w:p>
    <w:p>
      <w:pPr>
        <w:pStyle w:val="Normal"/>
        <w:rPr/>
      </w:pPr>
      <w:r>
        <w:rPr/>
        <w:t>Agreed and accepted by the parties as of the Effective Date.</w:t>
      </w:r>
    </w:p>
    <w:p>
      <w:pPr>
        <w:pStyle w:val="Normal"/>
        <w:rPr/>
      </w:pPr>
      <w:r>
        <w:rPr/>
        <w:t xml:space="preserve"> </w:t>
      </w:r>
    </w:p>
    <w:p>
      <w:pPr>
        <w:pStyle w:val="Normal"/>
        <w:rPr/>
      </w:pPr>
      <w:r>
        <w:rPr/>
        <w:t>Terra Vita Eco Farm &amp; Retreats Pty Ltd</w:t>
      </w:r>
    </w:p>
    <w:p>
      <w:pPr>
        <w:pStyle w:val="Normal"/>
        <w:rPr/>
      </w:pPr>
      <w:r>
        <w:rPr/>
        <w:t>By: ________________________________       Date: ____________</w:t>
      </w:r>
    </w:p>
    <w:p>
      <w:pPr>
        <w:pStyle w:val="Normal"/>
        <w:rPr/>
      </w:pPr>
      <w:r>
        <w:rPr/>
        <w:t>Name: ______________________________</w:t>
      </w:r>
    </w:p>
    <w:p>
      <w:pPr>
        <w:pStyle w:val="Normal"/>
        <w:rPr/>
      </w:pPr>
      <w:r>
        <w:rPr/>
        <w:t>Title: _______________________________</w:t>
      </w:r>
    </w:p>
    <w:p>
      <w:pPr>
        <w:pStyle w:val="Normal"/>
        <w:rPr/>
      </w:pPr>
      <w:r>
        <w:rPr/>
        <w:t xml:space="preserve"> </w:t>
      </w:r>
    </w:p>
    <w:p>
      <w:pPr>
        <w:pStyle w:val="Normal"/>
        <w:rPr/>
      </w:pPr>
      <w:r>
        <w:rPr/>
        <w:t>[Counterparty Legal Name]</w:t>
      </w:r>
    </w:p>
    <w:p>
      <w:pPr>
        <w:pStyle w:val="Normal"/>
        <w:rPr/>
      </w:pPr>
      <w:r>
        <w:rPr/>
        <w:t>By: ________________________________       Date: ____________</w:t>
      </w:r>
    </w:p>
    <w:p>
      <w:pPr>
        <w:pStyle w:val="Normal"/>
        <w:rPr/>
      </w:pPr>
      <w:r>
        <w:rPr/>
        <w:t>Name: ______________________________</w:t>
      </w:r>
    </w:p>
    <w:p>
      <w:pPr>
        <w:pStyle w:val="Normal"/>
        <w:widowControl/>
        <w:bidi w:val="0"/>
        <w:spacing w:lineRule="auto" w:line="276" w:before="0" w:after="200"/>
        <w:jc w:val="left"/>
        <w:rPr/>
      </w:pPr>
      <w:r>
        <w:rPr/>
        <w:t>Title: _______________________________</w:t>
      </w:r>
    </w:p>
    <w:sectPr>
      <w:headerReference w:type="even" r:id="rId39"/>
      <w:headerReference w:type="default" r:id="rId40"/>
      <w:headerReference w:type="first" r:id="rId41"/>
      <w:footerReference w:type="even" r:id="rId42"/>
      <w:footerReference w:type="default" r:id="rId43"/>
      <w:footerReference w:type="first" r:id="rId44"/>
      <w:type w:val="nextPage"/>
      <w:pgSz w:w="12240" w:h="15840"/>
      <w:pgMar w:left="1800" w:right="1800" w:gutter="0" w:header="720" w:top="1440" w:footer="720" w:bottom="1440"/>
      <w:pgNumType w:fmt="upperRoman"/>
      <w:formProt w:val="false"/>
      <w:textDirection w:val="lrTb"/>
      <w:docGrid w:type="default" w:linePitch="360" w:charSpace="4096"/>
    </w:sectPr>
  </w:body>
</w:document>
</file>

<file path=word/fontTable.xml><?xml version="1.0" encoding="utf-8"?>
<w:fonts xmlns:w="http://schemas.openxmlformats.org/wordprocessingml/2006/main" xmlns:r="http://schemas.openxmlformats.org/officeDocument/2006/relationships">
  <w:font w:name="Times New Roman">
    <w:charset w:val="00"/>
    <w:family w:val="roman"/>
    <w:pitch w:val="variable"/>
  </w:font>
  <w:font w:name="Symbol">
    <w:charset w:val="02"/>
    <w:family w:val="roman"/>
    <w:pitch w:val="variable"/>
  </w:font>
  <w:font w:name="Arial">
    <w:charset w:val="00"/>
    <w:family w:val="swiss"/>
    <w:pitch w:val="variable"/>
  </w:font>
  <w:font w:name="Liberation Serif">
    <w:altName w:val="Times New Roman"/>
    <w:charset w:val="00"/>
    <w:family w:val="roman"/>
    <w:pitch w:val="variable"/>
  </w:font>
  <w:font w:name="Cambria">
    <w:charset w:val="00"/>
    <w:family w:val="roman"/>
    <w:pitch w:val="variable"/>
  </w:font>
  <w:font w:name="Calibri">
    <w:charset w:val="00"/>
    <w:family w:val="roman"/>
    <w:pitch w:val="variable"/>
  </w:font>
  <w:font w:name="Courier">
    <w:altName w:val="Courier New"/>
    <w:charset w:val="00"/>
    <w:family w:val="roman"/>
    <w:pitch w:val="variable"/>
  </w:font>
  <w:font w:name="OpenSymbol">
    <w:altName w:val="Arial Unicode MS"/>
    <w:charset w:val="00"/>
    <w:family w:val="roman"/>
    <w:pitch w:val="variable"/>
  </w:font>
  <w:font w:name="Liberation Sans">
    <w:altName w:val="Arial"/>
    <w:charset w:val="00"/>
    <w:family w:val="roman"/>
    <w:pitch w:val="variable"/>
  </w:font>
</w:fonts>
</file>

<file path=word/footer1.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Footer"/>
      <w:rPr/>
    </w:pPr>
    <w:r>
      <w:rPr/>
    </w:r>
  </w:p>
</w:ftr>
</file>

<file path=word/footer2.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Footer"/>
      <w:jc w:val="center"/>
      <w:rPr/>
    </w:pPr>
    <w:bookmarkStart w:id="0" w:name="PageNumWizard_FOOTER_Standaard11"/>
    <w:r>
      <w:rPr>
        <w:sz w:val="16"/>
      </w:rPr>
      <w:fldChar w:fldCharType="begin"/>
    </w:r>
    <w:r>
      <w:rPr>
        <w:sz w:val="16"/>
      </w:rPr>
      <w:instrText xml:space="preserve"> PAGE </w:instrText>
    </w:r>
    <w:r>
      <w:rPr>
        <w:sz w:val="16"/>
      </w:rPr>
      <w:fldChar w:fldCharType="separate"/>
    </w:r>
    <w:r>
      <w:rPr>
        <w:sz w:val="16"/>
      </w:rPr>
      <w:t>XI</w:t>
    </w:r>
    <w:r>
      <w:rPr>
        <w:sz w:val="16"/>
      </w:rPr>
      <w:fldChar w:fldCharType="end"/>
    </w:r>
    <w:bookmarkEnd w:id="0"/>
  </w:p>
  <w:p>
    <w:pPr>
      <w:pStyle w:val="Footer"/>
      <w:rPr/>
    </w:pPr>
    <w:r>
      <w:rPr>
        <w:sz w:val="16"/>
      </w:rPr>
      <w:t>This document and all associated materials, including annexes, visuals, financial models, and strategic narratives (collectively, the “Confidential Information”), are proprietary to Terra Vita Ltd. Pty and are provided solely for the purpose of evaluating a potential investment or strategic partnership. By accessing or reviewing this information, the recipient agrees to maintain strict confidentiality and not to disclose, reproduce, distribute, or use any part of the Confidential Information for any purpose other than the intended evaluation, without prior written consent from Terra Vita Ltd. Pty. This obligation of confidentiality applies to all forms of communication—written, oral, digital, or visual—and shall remain in effect indefinitely, regardless of the outcome of any investment discussions. The recipient further agrees to take all reasonable measures to protect the Confidential Information from unauthorized access or disclosure. Terra Vita Ltd. Pty reserves the right to request the return or destruction of all Confidential Information at any time.</w:t>
    </w:r>
  </w:p>
</w:ftr>
</file>

<file path=word/footer3.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Footer"/>
      <w:jc w:val="center"/>
      <w:rPr/>
    </w:pPr>
    <w:bookmarkStart w:id="1" w:name="PageNumWizard_FOOTER_Standaard11"/>
    <w:r>
      <w:rPr>
        <w:sz w:val="16"/>
      </w:rPr>
      <w:fldChar w:fldCharType="begin"/>
    </w:r>
    <w:r>
      <w:rPr>
        <w:sz w:val="16"/>
      </w:rPr>
      <w:instrText xml:space="preserve"> PAGE </w:instrText>
    </w:r>
    <w:r>
      <w:rPr>
        <w:sz w:val="16"/>
      </w:rPr>
      <w:fldChar w:fldCharType="separate"/>
    </w:r>
    <w:r>
      <w:rPr>
        <w:sz w:val="16"/>
      </w:rPr>
      <w:t>XI</w:t>
    </w:r>
    <w:r>
      <w:rPr>
        <w:sz w:val="16"/>
      </w:rPr>
      <w:fldChar w:fldCharType="end"/>
    </w:r>
    <w:bookmarkEnd w:id="1"/>
  </w:p>
  <w:p>
    <w:pPr>
      <w:pStyle w:val="Footer"/>
      <w:rPr/>
    </w:pPr>
    <w:r>
      <w:rPr>
        <w:sz w:val="16"/>
      </w:rPr>
      <w:t>This document and all associated materials, including annexes, visuals, financial models, and strategic narratives (collectively, the “Confidential Information”), are proprietary to Terra Vita Ltd. Pty and are provided solely for the purpose of evaluating a potential investment or strategic partnership. By accessing or reviewing this information, the recipient agrees to maintain strict confidentiality and not to disclose, reproduce, distribute, or use any part of the Confidential Information for any purpose other than the intended evaluation, without prior written consent from Terra Vita Ltd. Pty. This obligation of confidentiality applies to all forms of communication—written, oral, digital, or visual—and shall remain in effect indefinitely, regardless of the outcome of any investment discussions. The recipient further agrees to take all reasonable measures to protect the Confidential Information from unauthorized access or disclosure. Terra Vita Ltd. Pty reserves the right to request the return or destruction of all Confidential Information at any time.</w:t>
    </w:r>
  </w:p>
</w:ftr>
</file>

<file path=word/header1.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Header"/>
      <w:rPr/>
    </w:pPr>
    <w:r>
      <w:rPr/>
    </w:r>
  </w:p>
</w:hdr>
</file>

<file path=word/header2.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Header"/>
      <w:rPr/>
    </w:pPr>
    <w:r>
      <w:rPr/>
    </w:r>
  </w:p>
</w:hdr>
</file>

<file path=word/header3.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Header"/>
      <w:rPr/>
    </w:pPr>
    <w:r>
      <w:rPr/>
    </w:r>
  </w:p>
</w:hdr>
</file>

<file path=word/numbering.xml><?xml version="1.0" encoding="utf-8"?>
<w:numbering xmlns:w="http://schemas.openxmlformats.org/wordprocessingml/2006/main" xmlns:o="urn:schemas-microsoft-com:office:office" xmlns:r="http://schemas.openxmlformats.org/officeDocument/2006/relationships" xmlns:v="urn:schemas-microsoft-com:vml" xmlns:mc="http://schemas.openxmlformats.org/markup-compatibility/2006" xmlns:w14="http://schemas.microsoft.com/office/word/2010/wordml" mc:Ignorable="w14">
  <w:abstractNum w:abstractNumId="1">
    <w:lvl w:ilvl="0">
      <w:start w:val="1"/>
      <w:numFmt w:val="bullet"/>
      <w:lvlText w:val=""/>
      <w:lvlJc w:val="left"/>
      <w:pPr>
        <w:tabs>
          <w:tab w:val="num" w:pos="360"/>
        </w:tabs>
        <w:ind w:left="360" w:hanging="360"/>
      </w:pPr>
      <w:rPr>
        <w:rFonts w:ascii="Symbol" w:hAnsi="Symbol" w:cs="Symbol" w:hint="default"/>
      </w:rPr>
    </w:lvl>
    <w:lvl w:ilvl="1">
      <w:start w:val="1"/>
      <w:numFmt w:val="decimal"/>
      <w:lvlText w:val="%2."/>
      <w:lvlJc w:val="left"/>
      <w:pPr>
        <w:tabs>
          <w:tab w:val="num" w:pos="1080"/>
        </w:tabs>
        <w:ind w:left="1080" w:hanging="360"/>
      </w:pPr>
      <w:rPr/>
    </w:lvl>
    <w:lvl w:ilvl="2">
      <w:start w:val="1"/>
      <w:numFmt w:val="decimal"/>
      <w:lvlText w:val="%3."/>
      <w:lvlJc w:val="left"/>
      <w:pPr>
        <w:tabs>
          <w:tab w:val="num" w:pos="1440"/>
        </w:tabs>
        <w:ind w:left="1440" w:hanging="360"/>
      </w:pPr>
      <w:rPr/>
    </w:lvl>
    <w:lvl w:ilvl="3">
      <w:start w:val="1"/>
      <w:numFmt w:val="decimal"/>
      <w:lvlText w:val="%4."/>
      <w:lvlJc w:val="left"/>
      <w:pPr>
        <w:tabs>
          <w:tab w:val="num" w:pos="1800"/>
        </w:tabs>
        <w:ind w:left="1800" w:hanging="360"/>
      </w:pPr>
      <w:rPr/>
    </w:lvl>
    <w:lvl w:ilvl="4">
      <w:start w:val="1"/>
      <w:numFmt w:val="decimal"/>
      <w:lvlText w:val="%5."/>
      <w:lvlJc w:val="left"/>
      <w:pPr>
        <w:tabs>
          <w:tab w:val="num" w:pos="2160"/>
        </w:tabs>
        <w:ind w:left="2160" w:hanging="360"/>
      </w:pPr>
      <w:rPr/>
    </w:lvl>
    <w:lvl w:ilvl="5">
      <w:start w:val="1"/>
      <w:numFmt w:val="decimal"/>
      <w:lvlText w:val="%6."/>
      <w:lvlJc w:val="left"/>
      <w:pPr>
        <w:tabs>
          <w:tab w:val="num" w:pos="2520"/>
        </w:tabs>
        <w:ind w:left="2520" w:hanging="360"/>
      </w:pPr>
      <w:rPr/>
    </w:lvl>
    <w:lvl w:ilvl="6">
      <w:start w:val="1"/>
      <w:numFmt w:val="decimal"/>
      <w:lvlText w:val="%7."/>
      <w:lvlJc w:val="left"/>
      <w:pPr>
        <w:tabs>
          <w:tab w:val="num" w:pos="2880"/>
        </w:tabs>
        <w:ind w:left="2880" w:hanging="360"/>
      </w:pPr>
      <w:rPr/>
    </w:lvl>
    <w:lvl w:ilvl="7">
      <w:start w:val="1"/>
      <w:numFmt w:val="decimal"/>
      <w:lvlText w:val="%8."/>
      <w:lvlJc w:val="left"/>
      <w:pPr>
        <w:tabs>
          <w:tab w:val="num" w:pos="3240"/>
        </w:tabs>
        <w:ind w:left="3240" w:hanging="360"/>
      </w:pPr>
      <w:rPr/>
    </w:lvl>
    <w:lvl w:ilvl="8">
      <w:start w:val="1"/>
      <w:numFmt w:val="decimal"/>
      <w:lvlText w:val="%9."/>
      <w:lvlJc w:val="left"/>
      <w:pPr>
        <w:tabs>
          <w:tab w:val="num" w:pos="3600"/>
        </w:tabs>
        <w:ind w:left="3600" w:hanging="360"/>
      </w:pPr>
      <w:rPr/>
    </w:lvl>
  </w:abstractNum>
  <w:abstractNum w:abstractNumId="2">
    <w:lvl w:ilvl="0">
      <w:start w:val="1"/>
      <w:numFmt w:val="bullet"/>
      <w:lvlText w:val=""/>
      <w:lvlJc w:val="left"/>
      <w:pPr>
        <w:tabs>
          <w:tab w:val="num" w:pos="720"/>
        </w:tabs>
        <w:ind w:left="720" w:hanging="360"/>
      </w:pPr>
      <w:rPr>
        <w:rFonts w:ascii="Symbol" w:hAnsi="Symbol" w:cs="Symbol" w:hint="default"/>
      </w:rPr>
    </w:lvl>
    <w:lvl w:ilvl="1">
      <w:start w:val="1"/>
      <w:numFmt w:val="decimal"/>
      <w:lvlText w:val="%2."/>
      <w:lvlJc w:val="left"/>
      <w:pPr>
        <w:tabs>
          <w:tab w:val="num" w:pos="1080"/>
        </w:tabs>
        <w:ind w:left="1080" w:hanging="360"/>
      </w:pPr>
      <w:rPr/>
    </w:lvl>
    <w:lvl w:ilvl="2">
      <w:start w:val="1"/>
      <w:numFmt w:val="decimal"/>
      <w:lvlText w:val="%3."/>
      <w:lvlJc w:val="left"/>
      <w:pPr>
        <w:tabs>
          <w:tab w:val="num" w:pos="1440"/>
        </w:tabs>
        <w:ind w:left="1440" w:hanging="360"/>
      </w:pPr>
      <w:rPr/>
    </w:lvl>
    <w:lvl w:ilvl="3">
      <w:start w:val="1"/>
      <w:numFmt w:val="decimal"/>
      <w:lvlText w:val="%4."/>
      <w:lvlJc w:val="left"/>
      <w:pPr>
        <w:tabs>
          <w:tab w:val="num" w:pos="1800"/>
        </w:tabs>
        <w:ind w:left="1800" w:hanging="360"/>
      </w:pPr>
      <w:rPr/>
    </w:lvl>
    <w:lvl w:ilvl="4">
      <w:start w:val="1"/>
      <w:numFmt w:val="decimal"/>
      <w:lvlText w:val="%5."/>
      <w:lvlJc w:val="left"/>
      <w:pPr>
        <w:tabs>
          <w:tab w:val="num" w:pos="2160"/>
        </w:tabs>
        <w:ind w:left="2160" w:hanging="360"/>
      </w:pPr>
      <w:rPr/>
    </w:lvl>
    <w:lvl w:ilvl="5">
      <w:start w:val="1"/>
      <w:numFmt w:val="decimal"/>
      <w:lvlText w:val="%6."/>
      <w:lvlJc w:val="left"/>
      <w:pPr>
        <w:tabs>
          <w:tab w:val="num" w:pos="2520"/>
        </w:tabs>
        <w:ind w:left="2520" w:hanging="360"/>
      </w:pPr>
      <w:rPr/>
    </w:lvl>
    <w:lvl w:ilvl="6">
      <w:start w:val="1"/>
      <w:numFmt w:val="decimal"/>
      <w:lvlText w:val="%7."/>
      <w:lvlJc w:val="left"/>
      <w:pPr>
        <w:tabs>
          <w:tab w:val="num" w:pos="2880"/>
        </w:tabs>
        <w:ind w:left="2880" w:hanging="360"/>
      </w:pPr>
      <w:rPr/>
    </w:lvl>
    <w:lvl w:ilvl="7">
      <w:start w:val="1"/>
      <w:numFmt w:val="decimal"/>
      <w:lvlText w:val="%8."/>
      <w:lvlJc w:val="left"/>
      <w:pPr>
        <w:tabs>
          <w:tab w:val="num" w:pos="3240"/>
        </w:tabs>
        <w:ind w:left="3240" w:hanging="360"/>
      </w:pPr>
      <w:rPr/>
    </w:lvl>
    <w:lvl w:ilvl="8">
      <w:start w:val="1"/>
      <w:numFmt w:val="decimal"/>
      <w:lvlText w:val="%9."/>
      <w:lvlJc w:val="left"/>
      <w:pPr>
        <w:tabs>
          <w:tab w:val="num" w:pos="3600"/>
        </w:tabs>
        <w:ind w:left="3600" w:hanging="360"/>
      </w:pPr>
      <w:rPr/>
    </w:lvl>
  </w:abstractNum>
  <w:abstractNum w:abstractNumId="3">
    <w:lvl w:ilvl="0">
      <w:start w:val="1"/>
      <w:numFmt w:val="bullet"/>
      <w:lvlText w:val=""/>
      <w:lvlJc w:val="left"/>
      <w:pPr>
        <w:tabs>
          <w:tab w:val="num" w:pos="1080"/>
        </w:tabs>
        <w:ind w:left="1080" w:hanging="360"/>
      </w:pPr>
      <w:rPr>
        <w:rFonts w:ascii="Symbol" w:hAnsi="Symbol" w:cs="Symbol" w:hint="default"/>
      </w:rPr>
    </w:lvl>
    <w:lvl w:ilvl="1">
      <w:start w:val="1"/>
      <w:numFmt w:val="decimal"/>
      <w:lvlText w:val="%2."/>
      <w:lvlJc w:val="left"/>
      <w:pPr>
        <w:tabs>
          <w:tab w:val="num" w:pos="1080"/>
        </w:tabs>
        <w:ind w:left="1080" w:hanging="360"/>
      </w:pPr>
      <w:rPr/>
    </w:lvl>
    <w:lvl w:ilvl="2">
      <w:start w:val="1"/>
      <w:numFmt w:val="decimal"/>
      <w:lvlText w:val="%3."/>
      <w:lvlJc w:val="left"/>
      <w:pPr>
        <w:tabs>
          <w:tab w:val="num" w:pos="1440"/>
        </w:tabs>
        <w:ind w:left="1440" w:hanging="360"/>
      </w:pPr>
      <w:rPr/>
    </w:lvl>
    <w:lvl w:ilvl="3">
      <w:start w:val="1"/>
      <w:numFmt w:val="decimal"/>
      <w:lvlText w:val="%4."/>
      <w:lvlJc w:val="left"/>
      <w:pPr>
        <w:tabs>
          <w:tab w:val="num" w:pos="1800"/>
        </w:tabs>
        <w:ind w:left="1800" w:hanging="360"/>
      </w:pPr>
      <w:rPr/>
    </w:lvl>
    <w:lvl w:ilvl="4">
      <w:start w:val="1"/>
      <w:numFmt w:val="decimal"/>
      <w:lvlText w:val="%5."/>
      <w:lvlJc w:val="left"/>
      <w:pPr>
        <w:tabs>
          <w:tab w:val="num" w:pos="2160"/>
        </w:tabs>
        <w:ind w:left="2160" w:hanging="360"/>
      </w:pPr>
      <w:rPr/>
    </w:lvl>
    <w:lvl w:ilvl="5">
      <w:start w:val="1"/>
      <w:numFmt w:val="decimal"/>
      <w:lvlText w:val="%6."/>
      <w:lvlJc w:val="left"/>
      <w:pPr>
        <w:tabs>
          <w:tab w:val="num" w:pos="2520"/>
        </w:tabs>
        <w:ind w:left="2520" w:hanging="360"/>
      </w:pPr>
      <w:rPr/>
    </w:lvl>
    <w:lvl w:ilvl="6">
      <w:start w:val="1"/>
      <w:numFmt w:val="decimal"/>
      <w:lvlText w:val="%7."/>
      <w:lvlJc w:val="left"/>
      <w:pPr>
        <w:tabs>
          <w:tab w:val="num" w:pos="2880"/>
        </w:tabs>
        <w:ind w:left="2880" w:hanging="360"/>
      </w:pPr>
      <w:rPr/>
    </w:lvl>
    <w:lvl w:ilvl="7">
      <w:start w:val="1"/>
      <w:numFmt w:val="decimal"/>
      <w:lvlText w:val="%8."/>
      <w:lvlJc w:val="left"/>
      <w:pPr>
        <w:tabs>
          <w:tab w:val="num" w:pos="3240"/>
        </w:tabs>
        <w:ind w:left="3240" w:hanging="360"/>
      </w:pPr>
      <w:rPr/>
    </w:lvl>
    <w:lvl w:ilvl="8">
      <w:start w:val="1"/>
      <w:numFmt w:val="decimal"/>
      <w:lvlText w:val="%9."/>
      <w:lvlJc w:val="left"/>
      <w:pPr>
        <w:tabs>
          <w:tab w:val="num" w:pos="3600"/>
        </w:tabs>
        <w:ind w:left="3600" w:hanging="360"/>
      </w:pPr>
      <w:rPr/>
    </w:lvl>
  </w:abstractNum>
  <w:abstractNum w:abstractNumId="4">
    <w:lvl w:ilvl="0">
      <w:start w:val="1"/>
      <w:numFmt w:val="decimal"/>
      <w:lvlText w:val="%1."/>
      <w:lvlJc w:val="left"/>
      <w:pPr>
        <w:tabs>
          <w:tab w:val="num" w:pos="360"/>
        </w:tabs>
        <w:ind w:left="360" w:hanging="360"/>
      </w:pPr>
      <w:rPr/>
    </w:lvl>
    <w:lvl w:ilvl="1">
      <w:start w:val="1"/>
      <w:numFmt w:val="decimal"/>
      <w:lvlText w:val="%2."/>
      <w:lvlJc w:val="left"/>
      <w:pPr>
        <w:tabs>
          <w:tab w:val="num" w:pos="1080"/>
        </w:tabs>
        <w:ind w:left="1080" w:hanging="360"/>
      </w:pPr>
      <w:rPr/>
    </w:lvl>
    <w:lvl w:ilvl="2">
      <w:start w:val="1"/>
      <w:numFmt w:val="decimal"/>
      <w:lvlText w:val="%3."/>
      <w:lvlJc w:val="left"/>
      <w:pPr>
        <w:tabs>
          <w:tab w:val="num" w:pos="1440"/>
        </w:tabs>
        <w:ind w:left="1440" w:hanging="360"/>
      </w:pPr>
      <w:rPr/>
    </w:lvl>
    <w:lvl w:ilvl="3">
      <w:start w:val="1"/>
      <w:numFmt w:val="decimal"/>
      <w:lvlText w:val="%4."/>
      <w:lvlJc w:val="left"/>
      <w:pPr>
        <w:tabs>
          <w:tab w:val="num" w:pos="1800"/>
        </w:tabs>
        <w:ind w:left="1800" w:hanging="360"/>
      </w:pPr>
      <w:rPr/>
    </w:lvl>
    <w:lvl w:ilvl="4">
      <w:start w:val="1"/>
      <w:numFmt w:val="decimal"/>
      <w:lvlText w:val="%5."/>
      <w:lvlJc w:val="left"/>
      <w:pPr>
        <w:tabs>
          <w:tab w:val="num" w:pos="2160"/>
        </w:tabs>
        <w:ind w:left="2160" w:hanging="360"/>
      </w:pPr>
      <w:rPr/>
    </w:lvl>
    <w:lvl w:ilvl="5">
      <w:start w:val="1"/>
      <w:numFmt w:val="decimal"/>
      <w:lvlText w:val="%6."/>
      <w:lvlJc w:val="left"/>
      <w:pPr>
        <w:tabs>
          <w:tab w:val="num" w:pos="2520"/>
        </w:tabs>
        <w:ind w:left="2520" w:hanging="360"/>
      </w:pPr>
      <w:rPr/>
    </w:lvl>
    <w:lvl w:ilvl="6">
      <w:start w:val="1"/>
      <w:numFmt w:val="decimal"/>
      <w:lvlText w:val="%7."/>
      <w:lvlJc w:val="left"/>
      <w:pPr>
        <w:tabs>
          <w:tab w:val="num" w:pos="2880"/>
        </w:tabs>
        <w:ind w:left="2880" w:hanging="360"/>
      </w:pPr>
      <w:rPr/>
    </w:lvl>
    <w:lvl w:ilvl="7">
      <w:start w:val="1"/>
      <w:numFmt w:val="decimal"/>
      <w:lvlText w:val="%8."/>
      <w:lvlJc w:val="left"/>
      <w:pPr>
        <w:tabs>
          <w:tab w:val="num" w:pos="3240"/>
        </w:tabs>
        <w:ind w:left="3240" w:hanging="360"/>
      </w:pPr>
      <w:rPr/>
    </w:lvl>
    <w:lvl w:ilvl="8">
      <w:start w:val="1"/>
      <w:numFmt w:val="decimal"/>
      <w:lvlText w:val="%9."/>
      <w:lvlJc w:val="left"/>
      <w:pPr>
        <w:tabs>
          <w:tab w:val="num" w:pos="3600"/>
        </w:tabs>
        <w:ind w:left="3600" w:hanging="360"/>
      </w:pPr>
      <w:rPr/>
    </w:lvl>
  </w:abstractNum>
  <w:abstractNum w:abstractNumId="5">
    <w:lvl w:ilvl="0">
      <w:start w:val="1"/>
      <w:numFmt w:val="decimal"/>
      <w:lvlText w:val="%1."/>
      <w:lvlJc w:val="left"/>
      <w:pPr>
        <w:tabs>
          <w:tab w:val="num" w:pos="720"/>
        </w:tabs>
        <w:ind w:left="720" w:hanging="360"/>
      </w:pPr>
      <w:rPr/>
    </w:lvl>
    <w:lvl w:ilvl="1">
      <w:start w:val="1"/>
      <w:numFmt w:val="decimal"/>
      <w:lvlText w:val="%2."/>
      <w:lvlJc w:val="left"/>
      <w:pPr>
        <w:tabs>
          <w:tab w:val="num" w:pos="1080"/>
        </w:tabs>
        <w:ind w:left="1080" w:hanging="360"/>
      </w:pPr>
      <w:rPr/>
    </w:lvl>
    <w:lvl w:ilvl="2">
      <w:start w:val="1"/>
      <w:numFmt w:val="decimal"/>
      <w:lvlText w:val="%3."/>
      <w:lvlJc w:val="left"/>
      <w:pPr>
        <w:tabs>
          <w:tab w:val="num" w:pos="1440"/>
        </w:tabs>
        <w:ind w:left="1440" w:hanging="360"/>
      </w:pPr>
      <w:rPr/>
    </w:lvl>
    <w:lvl w:ilvl="3">
      <w:start w:val="1"/>
      <w:numFmt w:val="decimal"/>
      <w:lvlText w:val="%4."/>
      <w:lvlJc w:val="left"/>
      <w:pPr>
        <w:tabs>
          <w:tab w:val="num" w:pos="1800"/>
        </w:tabs>
        <w:ind w:left="1800" w:hanging="360"/>
      </w:pPr>
      <w:rPr/>
    </w:lvl>
    <w:lvl w:ilvl="4">
      <w:start w:val="1"/>
      <w:numFmt w:val="decimal"/>
      <w:lvlText w:val="%5."/>
      <w:lvlJc w:val="left"/>
      <w:pPr>
        <w:tabs>
          <w:tab w:val="num" w:pos="2160"/>
        </w:tabs>
        <w:ind w:left="2160" w:hanging="360"/>
      </w:pPr>
      <w:rPr/>
    </w:lvl>
    <w:lvl w:ilvl="5">
      <w:start w:val="1"/>
      <w:numFmt w:val="decimal"/>
      <w:lvlText w:val="%6."/>
      <w:lvlJc w:val="left"/>
      <w:pPr>
        <w:tabs>
          <w:tab w:val="num" w:pos="2520"/>
        </w:tabs>
        <w:ind w:left="2520" w:hanging="360"/>
      </w:pPr>
      <w:rPr/>
    </w:lvl>
    <w:lvl w:ilvl="6">
      <w:start w:val="1"/>
      <w:numFmt w:val="decimal"/>
      <w:lvlText w:val="%7."/>
      <w:lvlJc w:val="left"/>
      <w:pPr>
        <w:tabs>
          <w:tab w:val="num" w:pos="2880"/>
        </w:tabs>
        <w:ind w:left="2880" w:hanging="360"/>
      </w:pPr>
      <w:rPr/>
    </w:lvl>
    <w:lvl w:ilvl="7">
      <w:start w:val="1"/>
      <w:numFmt w:val="decimal"/>
      <w:lvlText w:val="%8."/>
      <w:lvlJc w:val="left"/>
      <w:pPr>
        <w:tabs>
          <w:tab w:val="num" w:pos="3240"/>
        </w:tabs>
        <w:ind w:left="3240" w:hanging="360"/>
      </w:pPr>
      <w:rPr/>
    </w:lvl>
    <w:lvl w:ilvl="8">
      <w:start w:val="1"/>
      <w:numFmt w:val="decimal"/>
      <w:lvlText w:val="%9."/>
      <w:lvlJc w:val="left"/>
      <w:pPr>
        <w:tabs>
          <w:tab w:val="num" w:pos="3600"/>
        </w:tabs>
        <w:ind w:left="3600" w:hanging="360"/>
      </w:pPr>
      <w:rPr/>
    </w:lvl>
  </w:abstractNum>
  <w:abstractNum w:abstractNumId="6">
    <w:lvl w:ilvl="0">
      <w:start w:val="1"/>
      <w:numFmt w:val="decimal"/>
      <w:lvlText w:val="%1."/>
      <w:lvlJc w:val="left"/>
      <w:pPr>
        <w:tabs>
          <w:tab w:val="num" w:pos="1080"/>
        </w:tabs>
        <w:ind w:left="1080" w:hanging="360"/>
      </w:pPr>
      <w:rPr/>
    </w:lvl>
    <w:lvl w:ilvl="1">
      <w:start w:val="1"/>
      <w:numFmt w:val="decimal"/>
      <w:lvlText w:val="%2."/>
      <w:lvlJc w:val="left"/>
      <w:pPr>
        <w:tabs>
          <w:tab w:val="num" w:pos="1080"/>
        </w:tabs>
        <w:ind w:left="1080" w:hanging="360"/>
      </w:pPr>
      <w:rPr/>
    </w:lvl>
    <w:lvl w:ilvl="2">
      <w:start w:val="1"/>
      <w:numFmt w:val="decimal"/>
      <w:lvlText w:val="%3."/>
      <w:lvlJc w:val="left"/>
      <w:pPr>
        <w:tabs>
          <w:tab w:val="num" w:pos="1440"/>
        </w:tabs>
        <w:ind w:left="1440" w:hanging="360"/>
      </w:pPr>
      <w:rPr/>
    </w:lvl>
    <w:lvl w:ilvl="3">
      <w:start w:val="1"/>
      <w:numFmt w:val="decimal"/>
      <w:lvlText w:val="%4."/>
      <w:lvlJc w:val="left"/>
      <w:pPr>
        <w:tabs>
          <w:tab w:val="num" w:pos="1800"/>
        </w:tabs>
        <w:ind w:left="1800" w:hanging="360"/>
      </w:pPr>
      <w:rPr/>
    </w:lvl>
    <w:lvl w:ilvl="4">
      <w:start w:val="1"/>
      <w:numFmt w:val="decimal"/>
      <w:lvlText w:val="%5."/>
      <w:lvlJc w:val="left"/>
      <w:pPr>
        <w:tabs>
          <w:tab w:val="num" w:pos="2160"/>
        </w:tabs>
        <w:ind w:left="2160" w:hanging="360"/>
      </w:pPr>
      <w:rPr/>
    </w:lvl>
    <w:lvl w:ilvl="5">
      <w:start w:val="1"/>
      <w:numFmt w:val="decimal"/>
      <w:lvlText w:val="%6."/>
      <w:lvlJc w:val="left"/>
      <w:pPr>
        <w:tabs>
          <w:tab w:val="num" w:pos="2520"/>
        </w:tabs>
        <w:ind w:left="2520" w:hanging="360"/>
      </w:pPr>
      <w:rPr/>
    </w:lvl>
    <w:lvl w:ilvl="6">
      <w:start w:val="1"/>
      <w:numFmt w:val="decimal"/>
      <w:lvlText w:val="%7."/>
      <w:lvlJc w:val="left"/>
      <w:pPr>
        <w:tabs>
          <w:tab w:val="num" w:pos="2880"/>
        </w:tabs>
        <w:ind w:left="2880" w:hanging="360"/>
      </w:pPr>
      <w:rPr/>
    </w:lvl>
    <w:lvl w:ilvl="7">
      <w:start w:val="1"/>
      <w:numFmt w:val="decimal"/>
      <w:lvlText w:val="%8."/>
      <w:lvlJc w:val="left"/>
      <w:pPr>
        <w:tabs>
          <w:tab w:val="num" w:pos="3240"/>
        </w:tabs>
        <w:ind w:left="3240" w:hanging="360"/>
      </w:pPr>
      <w:rPr/>
    </w:lvl>
    <w:lvl w:ilvl="8">
      <w:start w:val="1"/>
      <w:numFmt w:val="decimal"/>
      <w:lvlText w:val="%9."/>
      <w:lvlJc w:val="left"/>
      <w:pPr>
        <w:tabs>
          <w:tab w:val="num" w:pos="3600"/>
        </w:tabs>
        <w:ind w:left="3600" w:hanging="360"/>
      </w:pPr>
      <w:rPr/>
    </w:lvl>
  </w:abstractNum>
  <w:abstractNum w:abstractNumId="7">
    <w:lvl w:ilvl="0">
      <w:start w:val="1"/>
      <w:numFmt w:val="bullet"/>
      <w:lvlText w:val=""/>
      <w:lvlJc w:val="left"/>
      <w:pPr>
        <w:tabs>
          <w:tab w:val="num" w:pos="709"/>
        </w:tabs>
        <w:ind w:left="709" w:hanging="283"/>
      </w:pPr>
      <w:rPr>
        <w:rFonts w:ascii="Symbol" w:hAnsi="Symbol" w:cs="Symbol" w:hint="default"/>
      </w:rPr>
    </w:lvl>
    <w:lvl w:ilvl="1">
      <w:start w:val="1"/>
      <w:numFmt w:val="bullet"/>
      <w:lvlText w:val=""/>
      <w:lvlJc w:val="left"/>
      <w:pPr>
        <w:tabs>
          <w:tab w:val="num" w:pos="1418"/>
        </w:tabs>
        <w:ind w:left="1418" w:hanging="283"/>
      </w:pPr>
      <w:rPr>
        <w:rFonts w:ascii="Symbol" w:hAnsi="Symbol" w:cs="Symbol" w:hint="default"/>
      </w:rPr>
    </w:lvl>
    <w:lvl w:ilvl="2">
      <w:start w:val="1"/>
      <w:numFmt w:val="bullet"/>
      <w:lvlText w:val=""/>
      <w:lvlJc w:val="left"/>
      <w:pPr>
        <w:tabs>
          <w:tab w:val="num" w:pos="2127"/>
        </w:tabs>
        <w:ind w:left="2127" w:hanging="283"/>
      </w:pPr>
      <w:rPr>
        <w:rFonts w:ascii="Symbol" w:hAnsi="Symbol" w:cs="Symbol" w:hint="default"/>
      </w:rPr>
    </w:lvl>
    <w:lvl w:ilvl="3">
      <w:start w:val="1"/>
      <w:numFmt w:val="bullet"/>
      <w:lvlText w:val=""/>
      <w:lvlJc w:val="left"/>
      <w:pPr>
        <w:tabs>
          <w:tab w:val="num" w:pos="2836"/>
        </w:tabs>
        <w:ind w:left="2836" w:hanging="283"/>
      </w:pPr>
      <w:rPr>
        <w:rFonts w:ascii="Symbol" w:hAnsi="Symbol" w:cs="Symbol" w:hint="default"/>
      </w:rPr>
    </w:lvl>
    <w:lvl w:ilvl="4">
      <w:start w:val="1"/>
      <w:numFmt w:val="bullet"/>
      <w:lvlText w:val=""/>
      <w:lvlJc w:val="left"/>
      <w:pPr>
        <w:tabs>
          <w:tab w:val="num" w:pos="3545"/>
        </w:tabs>
        <w:ind w:left="3545" w:hanging="283"/>
      </w:pPr>
      <w:rPr>
        <w:rFonts w:ascii="Symbol" w:hAnsi="Symbol" w:cs="Symbol" w:hint="default"/>
      </w:rPr>
    </w:lvl>
    <w:lvl w:ilvl="5">
      <w:start w:val="1"/>
      <w:numFmt w:val="bullet"/>
      <w:lvlText w:val=""/>
      <w:lvlJc w:val="left"/>
      <w:pPr>
        <w:tabs>
          <w:tab w:val="num" w:pos="4254"/>
        </w:tabs>
        <w:ind w:left="4254" w:hanging="283"/>
      </w:pPr>
      <w:rPr>
        <w:rFonts w:ascii="Symbol" w:hAnsi="Symbol" w:cs="Symbol" w:hint="default"/>
      </w:rPr>
    </w:lvl>
    <w:lvl w:ilvl="6">
      <w:start w:val="1"/>
      <w:numFmt w:val="bullet"/>
      <w:lvlText w:val=""/>
      <w:lvlJc w:val="left"/>
      <w:pPr>
        <w:tabs>
          <w:tab w:val="num" w:pos="4963"/>
        </w:tabs>
        <w:ind w:left="4963" w:hanging="283"/>
      </w:pPr>
      <w:rPr>
        <w:rFonts w:ascii="Symbol" w:hAnsi="Symbol" w:cs="Symbol" w:hint="default"/>
      </w:rPr>
    </w:lvl>
    <w:lvl w:ilvl="7">
      <w:start w:val="1"/>
      <w:numFmt w:val="bullet"/>
      <w:lvlText w:val=""/>
      <w:lvlJc w:val="left"/>
      <w:pPr>
        <w:tabs>
          <w:tab w:val="num" w:pos="5672"/>
        </w:tabs>
        <w:ind w:left="5672" w:hanging="283"/>
      </w:pPr>
      <w:rPr>
        <w:rFonts w:ascii="Symbol" w:hAnsi="Symbol" w:cs="Symbol" w:hint="default"/>
      </w:rPr>
    </w:lvl>
    <w:lvl w:ilvl="8">
      <w:start w:val="1"/>
      <w:numFmt w:val="bullet"/>
      <w:lvlText w:val=""/>
      <w:lvlJc w:val="left"/>
      <w:pPr>
        <w:tabs>
          <w:tab w:val="num" w:pos="6381"/>
        </w:tabs>
        <w:ind w:left="6381" w:hanging="283"/>
      </w:pPr>
      <w:rPr>
        <w:rFonts w:ascii="Symbol" w:hAnsi="Symbol" w:cs="Symbol" w:hint="default"/>
      </w:rPr>
    </w:lvl>
  </w:abstractNum>
  <w:abstractNum w:abstractNumId="8">
    <w:lvl w:ilvl="0">
      <w:start w:val="1"/>
      <w:numFmt w:val="bullet"/>
      <w:lvlText w:val=""/>
      <w:lvlJc w:val="left"/>
      <w:pPr>
        <w:tabs>
          <w:tab w:val="num" w:pos="709"/>
        </w:tabs>
        <w:ind w:left="709" w:hanging="283"/>
      </w:pPr>
      <w:rPr>
        <w:rFonts w:ascii="Symbol" w:hAnsi="Symbol" w:cs="Symbol" w:hint="default"/>
      </w:rPr>
    </w:lvl>
    <w:lvl w:ilvl="1">
      <w:start w:val="1"/>
      <w:numFmt w:val="bullet"/>
      <w:lvlText w:val=""/>
      <w:lvlJc w:val="left"/>
      <w:pPr>
        <w:tabs>
          <w:tab w:val="num" w:pos="1418"/>
        </w:tabs>
        <w:ind w:left="1418" w:hanging="283"/>
      </w:pPr>
      <w:rPr>
        <w:rFonts w:ascii="Symbol" w:hAnsi="Symbol" w:cs="Symbol" w:hint="default"/>
      </w:rPr>
    </w:lvl>
    <w:lvl w:ilvl="2">
      <w:start w:val="1"/>
      <w:numFmt w:val="bullet"/>
      <w:lvlText w:val=""/>
      <w:lvlJc w:val="left"/>
      <w:pPr>
        <w:tabs>
          <w:tab w:val="num" w:pos="2127"/>
        </w:tabs>
        <w:ind w:left="2127" w:hanging="283"/>
      </w:pPr>
      <w:rPr>
        <w:rFonts w:ascii="Symbol" w:hAnsi="Symbol" w:cs="Symbol" w:hint="default"/>
      </w:rPr>
    </w:lvl>
    <w:lvl w:ilvl="3">
      <w:start w:val="1"/>
      <w:numFmt w:val="bullet"/>
      <w:lvlText w:val=""/>
      <w:lvlJc w:val="left"/>
      <w:pPr>
        <w:tabs>
          <w:tab w:val="num" w:pos="2836"/>
        </w:tabs>
        <w:ind w:left="2836" w:hanging="283"/>
      </w:pPr>
      <w:rPr>
        <w:rFonts w:ascii="Symbol" w:hAnsi="Symbol" w:cs="Symbol" w:hint="default"/>
      </w:rPr>
    </w:lvl>
    <w:lvl w:ilvl="4">
      <w:start w:val="1"/>
      <w:numFmt w:val="bullet"/>
      <w:lvlText w:val=""/>
      <w:lvlJc w:val="left"/>
      <w:pPr>
        <w:tabs>
          <w:tab w:val="num" w:pos="3545"/>
        </w:tabs>
        <w:ind w:left="3545" w:hanging="283"/>
      </w:pPr>
      <w:rPr>
        <w:rFonts w:ascii="Symbol" w:hAnsi="Symbol" w:cs="Symbol" w:hint="default"/>
      </w:rPr>
    </w:lvl>
    <w:lvl w:ilvl="5">
      <w:start w:val="1"/>
      <w:numFmt w:val="bullet"/>
      <w:lvlText w:val=""/>
      <w:lvlJc w:val="left"/>
      <w:pPr>
        <w:tabs>
          <w:tab w:val="num" w:pos="4254"/>
        </w:tabs>
        <w:ind w:left="4254" w:hanging="283"/>
      </w:pPr>
      <w:rPr>
        <w:rFonts w:ascii="Symbol" w:hAnsi="Symbol" w:cs="Symbol" w:hint="default"/>
      </w:rPr>
    </w:lvl>
    <w:lvl w:ilvl="6">
      <w:start w:val="1"/>
      <w:numFmt w:val="bullet"/>
      <w:lvlText w:val=""/>
      <w:lvlJc w:val="left"/>
      <w:pPr>
        <w:tabs>
          <w:tab w:val="num" w:pos="4963"/>
        </w:tabs>
        <w:ind w:left="4963" w:hanging="283"/>
      </w:pPr>
      <w:rPr>
        <w:rFonts w:ascii="Symbol" w:hAnsi="Symbol" w:cs="Symbol" w:hint="default"/>
      </w:rPr>
    </w:lvl>
    <w:lvl w:ilvl="7">
      <w:start w:val="1"/>
      <w:numFmt w:val="bullet"/>
      <w:lvlText w:val=""/>
      <w:lvlJc w:val="left"/>
      <w:pPr>
        <w:tabs>
          <w:tab w:val="num" w:pos="5672"/>
        </w:tabs>
        <w:ind w:left="5672" w:hanging="283"/>
      </w:pPr>
      <w:rPr>
        <w:rFonts w:ascii="Symbol" w:hAnsi="Symbol" w:cs="Symbol" w:hint="default"/>
      </w:rPr>
    </w:lvl>
    <w:lvl w:ilvl="8">
      <w:start w:val="1"/>
      <w:numFmt w:val="bullet"/>
      <w:lvlText w:val=""/>
      <w:lvlJc w:val="left"/>
      <w:pPr>
        <w:tabs>
          <w:tab w:val="num" w:pos="6381"/>
        </w:tabs>
        <w:ind w:left="6381" w:hanging="283"/>
      </w:pPr>
      <w:rPr>
        <w:rFonts w:ascii="Symbol" w:hAnsi="Symbol" w:cs="Symbol" w:hint="default"/>
      </w:rPr>
    </w:lvl>
  </w:abstractNum>
  <w:abstractNum w:abstractNumId="9">
    <w:lvl w:ilvl="0">
      <w:start w:val="1"/>
      <w:numFmt w:val="bullet"/>
      <w:lvlText w:val=""/>
      <w:lvlJc w:val="left"/>
      <w:pPr>
        <w:tabs>
          <w:tab w:val="num" w:pos="709"/>
        </w:tabs>
        <w:ind w:left="709" w:hanging="283"/>
      </w:pPr>
      <w:rPr>
        <w:rFonts w:ascii="Symbol" w:hAnsi="Symbol" w:cs="Symbol" w:hint="default"/>
      </w:rPr>
    </w:lvl>
    <w:lvl w:ilvl="1">
      <w:start w:val="1"/>
      <w:numFmt w:val="bullet"/>
      <w:lvlText w:val=""/>
      <w:lvlJc w:val="left"/>
      <w:pPr>
        <w:tabs>
          <w:tab w:val="num" w:pos="1418"/>
        </w:tabs>
        <w:ind w:left="1418" w:hanging="283"/>
      </w:pPr>
      <w:rPr>
        <w:rFonts w:ascii="Symbol" w:hAnsi="Symbol" w:cs="Symbol" w:hint="default"/>
      </w:rPr>
    </w:lvl>
    <w:lvl w:ilvl="2">
      <w:start w:val="1"/>
      <w:numFmt w:val="bullet"/>
      <w:lvlText w:val=""/>
      <w:lvlJc w:val="left"/>
      <w:pPr>
        <w:tabs>
          <w:tab w:val="num" w:pos="2127"/>
        </w:tabs>
        <w:ind w:left="2127" w:hanging="283"/>
      </w:pPr>
      <w:rPr>
        <w:rFonts w:ascii="Symbol" w:hAnsi="Symbol" w:cs="Symbol" w:hint="default"/>
      </w:rPr>
    </w:lvl>
    <w:lvl w:ilvl="3">
      <w:start w:val="1"/>
      <w:numFmt w:val="bullet"/>
      <w:lvlText w:val=""/>
      <w:lvlJc w:val="left"/>
      <w:pPr>
        <w:tabs>
          <w:tab w:val="num" w:pos="2836"/>
        </w:tabs>
        <w:ind w:left="2836" w:hanging="283"/>
      </w:pPr>
      <w:rPr>
        <w:rFonts w:ascii="Symbol" w:hAnsi="Symbol" w:cs="Symbol" w:hint="default"/>
      </w:rPr>
    </w:lvl>
    <w:lvl w:ilvl="4">
      <w:start w:val="1"/>
      <w:numFmt w:val="bullet"/>
      <w:lvlText w:val=""/>
      <w:lvlJc w:val="left"/>
      <w:pPr>
        <w:tabs>
          <w:tab w:val="num" w:pos="3545"/>
        </w:tabs>
        <w:ind w:left="3545" w:hanging="283"/>
      </w:pPr>
      <w:rPr>
        <w:rFonts w:ascii="Symbol" w:hAnsi="Symbol" w:cs="Symbol" w:hint="default"/>
      </w:rPr>
    </w:lvl>
    <w:lvl w:ilvl="5">
      <w:start w:val="1"/>
      <w:numFmt w:val="bullet"/>
      <w:lvlText w:val=""/>
      <w:lvlJc w:val="left"/>
      <w:pPr>
        <w:tabs>
          <w:tab w:val="num" w:pos="4254"/>
        </w:tabs>
        <w:ind w:left="4254" w:hanging="283"/>
      </w:pPr>
      <w:rPr>
        <w:rFonts w:ascii="Symbol" w:hAnsi="Symbol" w:cs="Symbol" w:hint="default"/>
      </w:rPr>
    </w:lvl>
    <w:lvl w:ilvl="6">
      <w:start w:val="1"/>
      <w:numFmt w:val="bullet"/>
      <w:lvlText w:val=""/>
      <w:lvlJc w:val="left"/>
      <w:pPr>
        <w:tabs>
          <w:tab w:val="num" w:pos="4963"/>
        </w:tabs>
        <w:ind w:left="4963" w:hanging="283"/>
      </w:pPr>
      <w:rPr>
        <w:rFonts w:ascii="Symbol" w:hAnsi="Symbol" w:cs="Symbol" w:hint="default"/>
      </w:rPr>
    </w:lvl>
    <w:lvl w:ilvl="7">
      <w:start w:val="1"/>
      <w:numFmt w:val="bullet"/>
      <w:lvlText w:val=""/>
      <w:lvlJc w:val="left"/>
      <w:pPr>
        <w:tabs>
          <w:tab w:val="num" w:pos="5672"/>
        </w:tabs>
        <w:ind w:left="5672" w:hanging="283"/>
      </w:pPr>
      <w:rPr>
        <w:rFonts w:ascii="Symbol" w:hAnsi="Symbol" w:cs="Symbol" w:hint="default"/>
      </w:rPr>
    </w:lvl>
    <w:lvl w:ilvl="8">
      <w:start w:val="1"/>
      <w:numFmt w:val="bullet"/>
      <w:lvlText w:val=""/>
      <w:lvlJc w:val="left"/>
      <w:pPr>
        <w:tabs>
          <w:tab w:val="num" w:pos="6381"/>
        </w:tabs>
        <w:ind w:left="6381" w:hanging="283"/>
      </w:pPr>
      <w:rPr>
        <w:rFonts w:ascii="Symbol" w:hAnsi="Symbol" w:cs="Symbol" w:hint="default"/>
      </w:rPr>
    </w:lvl>
  </w:abstractNum>
  <w:abstractNum w:abstractNumId="10">
    <w:lvl w:ilvl="0">
      <w:start w:val="1"/>
      <w:numFmt w:val="bullet"/>
      <w:lvlText w:val=""/>
      <w:lvlJc w:val="left"/>
      <w:pPr>
        <w:tabs>
          <w:tab w:val="num" w:pos="709"/>
        </w:tabs>
        <w:ind w:left="709" w:hanging="283"/>
      </w:pPr>
      <w:rPr>
        <w:rFonts w:ascii="Symbol" w:hAnsi="Symbol" w:cs="Symbol" w:hint="default"/>
      </w:rPr>
    </w:lvl>
    <w:lvl w:ilvl="1">
      <w:start w:val="1"/>
      <w:numFmt w:val="bullet"/>
      <w:lvlText w:val=""/>
      <w:lvlJc w:val="left"/>
      <w:pPr>
        <w:tabs>
          <w:tab w:val="num" w:pos="1418"/>
        </w:tabs>
        <w:ind w:left="1418" w:hanging="283"/>
      </w:pPr>
      <w:rPr>
        <w:rFonts w:ascii="Symbol" w:hAnsi="Symbol" w:cs="Symbol" w:hint="default"/>
      </w:rPr>
    </w:lvl>
    <w:lvl w:ilvl="2">
      <w:start w:val="1"/>
      <w:numFmt w:val="bullet"/>
      <w:lvlText w:val=""/>
      <w:lvlJc w:val="left"/>
      <w:pPr>
        <w:tabs>
          <w:tab w:val="num" w:pos="2127"/>
        </w:tabs>
        <w:ind w:left="2127" w:hanging="283"/>
      </w:pPr>
      <w:rPr>
        <w:rFonts w:ascii="Symbol" w:hAnsi="Symbol" w:cs="Symbol" w:hint="default"/>
      </w:rPr>
    </w:lvl>
    <w:lvl w:ilvl="3">
      <w:start w:val="1"/>
      <w:numFmt w:val="bullet"/>
      <w:lvlText w:val=""/>
      <w:lvlJc w:val="left"/>
      <w:pPr>
        <w:tabs>
          <w:tab w:val="num" w:pos="2836"/>
        </w:tabs>
        <w:ind w:left="2836" w:hanging="283"/>
      </w:pPr>
      <w:rPr>
        <w:rFonts w:ascii="Symbol" w:hAnsi="Symbol" w:cs="Symbol" w:hint="default"/>
      </w:rPr>
    </w:lvl>
    <w:lvl w:ilvl="4">
      <w:start w:val="1"/>
      <w:numFmt w:val="bullet"/>
      <w:lvlText w:val=""/>
      <w:lvlJc w:val="left"/>
      <w:pPr>
        <w:tabs>
          <w:tab w:val="num" w:pos="3545"/>
        </w:tabs>
        <w:ind w:left="3545" w:hanging="283"/>
      </w:pPr>
      <w:rPr>
        <w:rFonts w:ascii="Symbol" w:hAnsi="Symbol" w:cs="Symbol" w:hint="default"/>
      </w:rPr>
    </w:lvl>
    <w:lvl w:ilvl="5">
      <w:start w:val="1"/>
      <w:numFmt w:val="bullet"/>
      <w:lvlText w:val=""/>
      <w:lvlJc w:val="left"/>
      <w:pPr>
        <w:tabs>
          <w:tab w:val="num" w:pos="4254"/>
        </w:tabs>
        <w:ind w:left="4254" w:hanging="283"/>
      </w:pPr>
      <w:rPr>
        <w:rFonts w:ascii="Symbol" w:hAnsi="Symbol" w:cs="Symbol" w:hint="default"/>
      </w:rPr>
    </w:lvl>
    <w:lvl w:ilvl="6">
      <w:start w:val="1"/>
      <w:numFmt w:val="bullet"/>
      <w:lvlText w:val=""/>
      <w:lvlJc w:val="left"/>
      <w:pPr>
        <w:tabs>
          <w:tab w:val="num" w:pos="4963"/>
        </w:tabs>
        <w:ind w:left="4963" w:hanging="283"/>
      </w:pPr>
      <w:rPr>
        <w:rFonts w:ascii="Symbol" w:hAnsi="Symbol" w:cs="Symbol" w:hint="default"/>
      </w:rPr>
    </w:lvl>
    <w:lvl w:ilvl="7">
      <w:start w:val="1"/>
      <w:numFmt w:val="bullet"/>
      <w:lvlText w:val=""/>
      <w:lvlJc w:val="left"/>
      <w:pPr>
        <w:tabs>
          <w:tab w:val="num" w:pos="5672"/>
        </w:tabs>
        <w:ind w:left="5672" w:hanging="283"/>
      </w:pPr>
      <w:rPr>
        <w:rFonts w:ascii="Symbol" w:hAnsi="Symbol" w:cs="Symbol" w:hint="default"/>
      </w:rPr>
    </w:lvl>
    <w:lvl w:ilvl="8">
      <w:start w:val="1"/>
      <w:numFmt w:val="bullet"/>
      <w:lvlText w:val=""/>
      <w:lvlJc w:val="left"/>
      <w:pPr>
        <w:tabs>
          <w:tab w:val="num" w:pos="6381"/>
        </w:tabs>
        <w:ind w:left="6381" w:hanging="283"/>
      </w:pPr>
      <w:rPr>
        <w:rFonts w:ascii="Symbol" w:hAnsi="Symbol" w:cs="Symbol" w:hint="default"/>
      </w:rPr>
    </w:lvl>
  </w:abstractNum>
  <w:abstractNum w:abstractNumId="11">
    <w:lvl w:ilvl="0">
      <w:start w:val="1"/>
      <w:numFmt w:val="bullet"/>
      <w:lvlText w:val=""/>
      <w:lvlJc w:val="left"/>
      <w:pPr>
        <w:tabs>
          <w:tab w:val="num" w:pos="709"/>
        </w:tabs>
        <w:ind w:left="709" w:hanging="283"/>
      </w:pPr>
      <w:rPr>
        <w:rFonts w:ascii="Symbol" w:hAnsi="Symbol" w:cs="Symbol" w:hint="default"/>
      </w:rPr>
    </w:lvl>
    <w:lvl w:ilvl="1">
      <w:start w:val="1"/>
      <w:numFmt w:val="bullet"/>
      <w:lvlText w:val=""/>
      <w:lvlJc w:val="left"/>
      <w:pPr>
        <w:tabs>
          <w:tab w:val="num" w:pos="1418"/>
        </w:tabs>
        <w:ind w:left="1418" w:hanging="283"/>
      </w:pPr>
      <w:rPr>
        <w:rFonts w:ascii="Symbol" w:hAnsi="Symbol" w:cs="Symbol" w:hint="default"/>
      </w:rPr>
    </w:lvl>
    <w:lvl w:ilvl="2">
      <w:start w:val="1"/>
      <w:numFmt w:val="bullet"/>
      <w:lvlText w:val=""/>
      <w:lvlJc w:val="left"/>
      <w:pPr>
        <w:tabs>
          <w:tab w:val="num" w:pos="2127"/>
        </w:tabs>
        <w:ind w:left="2127" w:hanging="283"/>
      </w:pPr>
      <w:rPr>
        <w:rFonts w:ascii="Symbol" w:hAnsi="Symbol" w:cs="Symbol" w:hint="default"/>
      </w:rPr>
    </w:lvl>
    <w:lvl w:ilvl="3">
      <w:start w:val="1"/>
      <w:numFmt w:val="bullet"/>
      <w:lvlText w:val=""/>
      <w:lvlJc w:val="left"/>
      <w:pPr>
        <w:tabs>
          <w:tab w:val="num" w:pos="2836"/>
        </w:tabs>
        <w:ind w:left="2836" w:hanging="283"/>
      </w:pPr>
      <w:rPr>
        <w:rFonts w:ascii="Symbol" w:hAnsi="Symbol" w:cs="Symbol" w:hint="default"/>
      </w:rPr>
    </w:lvl>
    <w:lvl w:ilvl="4">
      <w:start w:val="1"/>
      <w:numFmt w:val="bullet"/>
      <w:lvlText w:val=""/>
      <w:lvlJc w:val="left"/>
      <w:pPr>
        <w:tabs>
          <w:tab w:val="num" w:pos="3545"/>
        </w:tabs>
        <w:ind w:left="3545" w:hanging="283"/>
      </w:pPr>
      <w:rPr>
        <w:rFonts w:ascii="Symbol" w:hAnsi="Symbol" w:cs="Symbol" w:hint="default"/>
      </w:rPr>
    </w:lvl>
    <w:lvl w:ilvl="5">
      <w:start w:val="1"/>
      <w:numFmt w:val="bullet"/>
      <w:lvlText w:val=""/>
      <w:lvlJc w:val="left"/>
      <w:pPr>
        <w:tabs>
          <w:tab w:val="num" w:pos="4254"/>
        </w:tabs>
        <w:ind w:left="4254" w:hanging="283"/>
      </w:pPr>
      <w:rPr>
        <w:rFonts w:ascii="Symbol" w:hAnsi="Symbol" w:cs="Symbol" w:hint="default"/>
      </w:rPr>
    </w:lvl>
    <w:lvl w:ilvl="6">
      <w:start w:val="1"/>
      <w:numFmt w:val="bullet"/>
      <w:lvlText w:val=""/>
      <w:lvlJc w:val="left"/>
      <w:pPr>
        <w:tabs>
          <w:tab w:val="num" w:pos="4963"/>
        </w:tabs>
        <w:ind w:left="4963" w:hanging="283"/>
      </w:pPr>
      <w:rPr>
        <w:rFonts w:ascii="Symbol" w:hAnsi="Symbol" w:cs="Symbol" w:hint="default"/>
      </w:rPr>
    </w:lvl>
    <w:lvl w:ilvl="7">
      <w:start w:val="1"/>
      <w:numFmt w:val="bullet"/>
      <w:lvlText w:val=""/>
      <w:lvlJc w:val="left"/>
      <w:pPr>
        <w:tabs>
          <w:tab w:val="num" w:pos="5672"/>
        </w:tabs>
        <w:ind w:left="5672" w:hanging="283"/>
      </w:pPr>
      <w:rPr>
        <w:rFonts w:ascii="Symbol" w:hAnsi="Symbol" w:cs="Symbol" w:hint="default"/>
      </w:rPr>
    </w:lvl>
    <w:lvl w:ilvl="8">
      <w:start w:val="1"/>
      <w:numFmt w:val="bullet"/>
      <w:lvlText w:val=""/>
      <w:lvlJc w:val="left"/>
      <w:pPr>
        <w:tabs>
          <w:tab w:val="num" w:pos="6381"/>
        </w:tabs>
        <w:ind w:left="6381" w:hanging="283"/>
      </w:pPr>
      <w:rPr>
        <w:rFonts w:ascii="Symbol" w:hAnsi="Symbol" w:cs="Symbol" w:hint="default"/>
      </w:rPr>
    </w:lvl>
  </w:abstractNum>
  <w:abstractNum w:abstractNumId="12">
    <w:lvl w:ilvl="0">
      <w:start w:val="1"/>
      <w:numFmt w:val="bullet"/>
      <w:lvlText w:val=""/>
      <w:lvlJc w:val="left"/>
      <w:pPr>
        <w:tabs>
          <w:tab w:val="num" w:pos="709"/>
        </w:tabs>
        <w:ind w:left="709" w:hanging="283"/>
      </w:pPr>
      <w:rPr>
        <w:rFonts w:ascii="Symbol" w:hAnsi="Symbol" w:cs="Symbol" w:hint="default"/>
      </w:rPr>
    </w:lvl>
    <w:lvl w:ilvl="1">
      <w:start w:val="1"/>
      <w:numFmt w:val="bullet"/>
      <w:lvlText w:val=""/>
      <w:lvlJc w:val="left"/>
      <w:pPr>
        <w:tabs>
          <w:tab w:val="num" w:pos="1418"/>
        </w:tabs>
        <w:ind w:left="1418" w:hanging="283"/>
      </w:pPr>
      <w:rPr>
        <w:rFonts w:ascii="Symbol" w:hAnsi="Symbol" w:cs="Symbol" w:hint="default"/>
      </w:rPr>
    </w:lvl>
    <w:lvl w:ilvl="2">
      <w:start w:val="1"/>
      <w:numFmt w:val="bullet"/>
      <w:lvlText w:val=""/>
      <w:lvlJc w:val="left"/>
      <w:pPr>
        <w:tabs>
          <w:tab w:val="num" w:pos="2127"/>
        </w:tabs>
        <w:ind w:left="2127" w:hanging="283"/>
      </w:pPr>
      <w:rPr>
        <w:rFonts w:ascii="Symbol" w:hAnsi="Symbol" w:cs="Symbol" w:hint="default"/>
      </w:rPr>
    </w:lvl>
    <w:lvl w:ilvl="3">
      <w:start w:val="1"/>
      <w:numFmt w:val="bullet"/>
      <w:lvlText w:val=""/>
      <w:lvlJc w:val="left"/>
      <w:pPr>
        <w:tabs>
          <w:tab w:val="num" w:pos="2836"/>
        </w:tabs>
        <w:ind w:left="2836" w:hanging="283"/>
      </w:pPr>
      <w:rPr>
        <w:rFonts w:ascii="Symbol" w:hAnsi="Symbol" w:cs="Symbol" w:hint="default"/>
      </w:rPr>
    </w:lvl>
    <w:lvl w:ilvl="4">
      <w:start w:val="1"/>
      <w:numFmt w:val="bullet"/>
      <w:lvlText w:val=""/>
      <w:lvlJc w:val="left"/>
      <w:pPr>
        <w:tabs>
          <w:tab w:val="num" w:pos="3545"/>
        </w:tabs>
        <w:ind w:left="3545" w:hanging="283"/>
      </w:pPr>
      <w:rPr>
        <w:rFonts w:ascii="Symbol" w:hAnsi="Symbol" w:cs="Symbol" w:hint="default"/>
      </w:rPr>
    </w:lvl>
    <w:lvl w:ilvl="5">
      <w:start w:val="1"/>
      <w:numFmt w:val="bullet"/>
      <w:lvlText w:val=""/>
      <w:lvlJc w:val="left"/>
      <w:pPr>
        <w:tabs>
          <w:tab w:val="num" w:pos="4254"/>
        </w:tabs>
        <w:ind w:left="4254" w:hanging="283"/>
      </w:pPr>
      <w:rPr>
        <w:rFonts w:ascii="Symbol" w:hAnsi="Symbol" w:cs="Symbol" w:hint="default"/>
      </w:rPr>
    </w:lvl>
    <w:lvl w:ilvl="6">
      <w:start w:val="1"/>
      <w:numFmt w:val="bullet"/>
      <w:lvlText w:val=""/>
      <w:lvlJc w:val="left"/>
      <w:pPr>
        <w:tabs>
          <w:tab w:val="num" w:pos="4963"/>
        </w:tabs>
        <w:ind w:left="4963" w:hanging="283"/>
      </w:pPr>
      <w:rPr>
        <w:rFonts w:ascii="Symbol" w:hAnsi="Symbol" w:cs="Symbol" w:hint="default"/>
      </w:rPr>
    </w:lvl>
    <w:lvl w:ilvl="7">
      <w:start w:val="1"/>
      <w:numFmt w:val="bullet"/>
      <w:lvlText w:val=""/>
      <w:lvlJc w:val="left"/>
      <w:pPr>
        <w:tabs>
          <w:tab w:val="num" w:pos="5672"/>
        </w:tabs>
        <w:ind w:left="5672" w:hanging="283"/>
      </w:pPr>
      <w:rPr>
        <w:rFonts w:ascii="Symbol" w:hAnsi="Symbol" w:cs="Symbol" w:hint="default"/>
      </w:rPr>
    </w:lvl>
    <w:lvl w:ilvl="8">
      <w:start w:val="1"/>
      <w:numFmt w:val="bullet"/>
      <w:lvlText w:val=""/>
      <w:lvlJc w:val="left"/>
      <w:pPr>
        <w:tabs>
          <w:tab w:val="num" w:pos="6381"/>
        </w:tabs>
        <w:ind w:left="6381" w:hanging="283"/>
      </w:pPr>
      <w:rPr>
        <w:rFonts w:ascii="Symbol" w:hAnsi="Symbol" w:cs="Symbol" w:hint="default"/>
      </w:rPr>
    </w:lvl>
  </w:abstractNum>
  <w:abstractNum w:abstractNumId="13">
    <w:lvl w:ilvl="0">
      <w:start w:val="1"/>
      <w:numFmt w:val="bullet"/>
      <w:lvlText w:val=""/>
      <w:lvlJc w:val="left"/>
      <w:pPr>
        <w:tabs>
          <w:tab w:val="num" w:pos="709"/>
        </w:tabs>
        <w:ind w:left="709" w:hanging="283"/>
      </w:pPr>
      <w:rPr>
        <w:rFonts w:ascii="Symbol" w:hAnsi="Symbol" w:cs="Symbol" w:hint="default"/>
      </w:rPr>
    </w:lvl>
    <w:lvl w:ilvl="1">
      <w:start w:val="1"/>
      <w:numFmt w:val="bullet"/>
      <w:lvlText w:val=""/>
      <w:lvlJc w:val="left"/>
      <w:pPr>
        <w:tabs>
          <w:tab w:val="num" w:pos="1418"/>
        </w:tabs>
        <w:ind w:left="1418" w:hanging="283"/>
      </w:pPr>
      <w:rPr>
        <w:rFonts w:ascii="Symbol" w:hAnsi="Symbol" w:cs="Symbol" w:hint="default"/>
      </w:rPr>
    </w:lvl>
    <w:lvl w:ilvl="2">
      <w:start w:val="1"/>
      <w:numFmt w:val="bullet"/>
      <w:lvlText w:val=""/>
      <w:lvlJc w:val="left"/>
      <w:pPr>
        <w:tabs>
          <w:tab w:val="num" w:pos="2127"/>
        </w:tabs>
        <w:ind w:left="2127" w:hanging="283"/>
      </w:pPr>
      <w:rPr>
        <w:rFonts w:ascii="Symbol" w:hAnsi="Symbol" w:cs="Symbol" w:hint="default"/>
      </w:rPr>
    </w:lvl>
    <w:lvl w:ilvl="3">
      <w:start w:val="1"/>
      <w:numFmt w:val="bullet"/>
      <w:lvlText w:val=""/>
      <w:lvlJc w:val="left"/>
      <w:pPr>
        <w:tabs>
          <w:tab w:val="num" w:pos="2836"/>
        </w:tabs>
        <w:ind w:left="2836" w:hanging="283"/>
      </w:pPr>
      <w:rPr>
        <w:rFonts w:ascii="Symbol" w:hAnsi="Symbol" w:cs="Symbol" w:hint="default"/>
      </w:rPr>
    </w:lvl>
    <w:lvl w:ilvl="4">
      <w:start w:val="1"/>
      <w:numFmt w:val="bullet"/>
      <w:lvlText w:val=""/>
      <w:lvlJc w:val="left"/>
      <w:pPr>
        <w:tabs>
          <w:tab w:val="num" w:pos="3545"/>
        </w:tabs>
        <w:ind w:left="3545" w:hanging="283"/>
      </w:pPr>
      <w:rPr>
        <w:rFonts w:ascii="Symbol" w:hAnsi="Symbol" w:cs="Symbol" w:hint="default"/>
      </w:rPr>
    </w:lvl>
    <w:lvl w:ilvl="5">
      <w:start w:val="1"/>
      <w:numFmt w:val="bullet"/>
      <w:lvlText w:val=""/>
      <w:lvlJc w:val="left"/>
      <w:pPr>
        <w:tabs>
          <w:tab w:val="num" w:pos="4254"/>
        </w:tabs>
        <w:ind w:left="4254" w:hanging="283"/>
      </w:pPr>
      <w:rPr>
        <w:rFonts w:ascii="Symbol" w:hAnsi="Symbol" w:cs="Symbol" w:hint="default"/>
      </w:rPr>
    </w:lvl>
    <w:lvl w:ilvl="6">
      <w:start w:val="1"/>
      <w:numFmt w:val="bullet"/>
      <w:lvlText w:val=""/>
      <w:lvlJc w:val="left"/>
      <w:pPr>
        <w:tabs>
          <w:tab w:val="num" w:pos="4963"/>
        </w:tabs>
        <w:ind w:left="4963" w:hanging="283"/>
      </w:pPr>
      <w:rPr>
        <w:rFonts w:ascii="Symbol" w:hAnsi="Symbol" w:cs="Symbol" w:hint="default"/>
      </w:rPr>
    </w:lvl>
    <w:lvl w:ilvl="7">
      <w:start w:val="1"/>
      <w:numFmt w:val="bullet"/>
      <w:lvlText w:val=""/>
      <w:lvlJc w:val="left"/>
      <w:pPr>
        <w:tabs>
          <w:tab w:val="num" w:pos="5672"/>
        </w:tabs>
        <w:ind w:left="5672" w:hanging="283"/>
      </w:pPr>
      <w:rPr>
        <w:rFonts w:ascii="Symbol" w:hAnsi="Symbol" w:cs="Symbol" w:hint="default"/>
      </w:rPr>
    </w:lvl>
    <w:lvl w:ilvl="8">
      <w:start w:val="1"/>
      <w:numFmt w:val="bullet"/>
      <w:lvlText w:val=""/>
      <w:lvlJc w:val="left"/>
      <w:pPr>
        <w:tabs>
          <w:tab w:val="num" w:pos="6381"/>
        </w:tabs>
        <w:ind w:left="6381" w:hanging="283"/>
      </w:pPr>
      <w:rPr>
        <w:rFonts w:ascii="Symbol" w:hAnsi="Symbol" w:cs="Symbol" w:hint="default"/>
      </w:rPr>
    </w:lvl>
  </w:abstractNum>
  <w:abstractNum w:abstractNumId="14">
    <w:lvl w:ilvl="0">
      <w:start w:val="1"/>
      <w:numFmt w:val="bullet"/>
      <w:lvlText w:val=""/>
      <w:lvlJc w:val="left"/>
      <w:pPr>
        <w:tabs>
          <w:tab w:val="num" w:pos="709"/>
        </w:tabs>
        <w:ind w:left="709" w:hanging="283"/>
      </w:pPr>
      <w:rPr>
        <w:rFonts w:ascii="Symbol" w:hAnsi="Symbol" w:cs="Symbol" w:hint="default"/>
      </w:rPr>
    </w:lvl>
    <w:lvl w:ilvl="1">
      <w:start w:val="1"/>
      <w:numFmt w:val="bullet"/>
      <w:lvlText w:val=""/>
      <w:lvlJc w:val="left"/>
      <w:pPr>
        <w:tabs>
          <w:tab w:val="num" w:pos="1418"/>
        </w:tabs>
        <w:ind w:left="1418" w:hanging="283"/>
      </w:pPr>
      <w:rPr>
        <w:rFonts w:ascii="Symbol" w:hAnsi="Symbol" w:cs="Symbol" w:hint="default"/>
      </w:rPr>
    </w:lvl>
    <w:lvl w:ilvl="2">
      <w:start w:val="1"/>
      <w:numFmt w:val="bullet"/>
      <w:lvlText w:val=""/>
      <w:lvlJc w:val="left"/>
      <w:pPr>
        <w:tabs>
          <w:tab w:val="num" w:pos="2127"/>
        </w:tabs>
        <w:ind w:left="2127" w:hanging="283"/>
      </w:pPr>
      <w:rPr>
        <w:rFonts w:ascii="Symbol" w:hAnsi="Symbol" w:cs="Symbol" w:hint="default"/>
      </w:rPr>
    </w:lvl>
    <w:lvl w:ilvl="3">
      <w:start w:val="1"/>
      <w:numFmt w:val="bullet"/>
      <w:lvlText w:val=""/>
      <w:lvlJc w:val="left"/>
      <w:pPr>
        <w:tabs>
          <w:tab w:val="num" w:pos="2836"/>
        </w:tabs>
        <w:ind w:left="2836" w:hanging="283"/>
      </w:pPr>
      <w:rPr>
        <w:rFonts w:ascii="Symbol" w:hAnsi="Symbol" w:cs="Symbol" w:hint="default"/>
      </w:rPr>
    </w:lvl>
    <w:lvl w:ilvl="4">
      <w:start w:val="1"/>
      <w:numFmt w:val="bullet"/>
      <w:lvlText w:val=""/>
      <w:lvlJc w:val="left"/>
      <w:pPr>
        <w:tabs>
          <w:tab w:val="num" w:pos="3545"/>
        </w:tabs>
        <w:ind w:left="3545" w:hanging="283"/>
      </w:pPr>
      <w:rPr>
        <w:rFonts w:ascii="Symbol" w:hAnsi="Symbol" w:cs="Symbol" w:hint="default"/>
      </w:rPr>
    </w:lvl>
    <w:lvl w:ilvl="5">
      <w:start w:val="1"/>
      <w:numFmt w:val="bullet"/>
      <w:lvlText w:val=""/>
      <w:lvlJc w:val="left"/>
      <w:pPr>
        <w:tabs>
          <w:tab w:val="num" w:pos="4254"/>
        </w:tabs>
        <w:ind w:left="4254" w:hanging="283"/>
      </w:pPr>
      <w:rPr>
        <w:rFonts w:ascii="Symbol" w:hAnsi="Symbol" w:cs="Symbol" w:hint="default"/>
      </w:rPr>
    </w:lvl>
    <w:lvl w:ilvl="6">
      <w:start w:val="1"/>
      <w:numFmt w:val="bullet"/>
      <w:lvlText w:val=""/>
      <w:lvlJc w:val="left"/>
      <w:pPr>
        <w:tabs>
          <w:tab w:val="num" w:pos="4963"/>
        </w:tabs>
        <w:ind w:left="4963" w:hanging="283"/>
      </w:pPr>
      <w:rPr>
        <w:rFonts w:ascii="Symbol" w:hAnsi="Symbol" w:cs="Symbol" w:hint="default"/>
      </w:rPr>
    </w:lvl>
    <w:lvl w:ilvl="7">
      <w:start w:val="1"/>
      <w:numFmt w:val="bullet"/>
      <w:lvlText w:val=""/>
      <w:lvlJc w:val="left"/>
      <w:pPr>
        <w:tabs>
          <w:tab w:val="num" w:pos="5672"/>
        </w:tabs>
        <w:ind w:left="5672" w:hanging="283"/>
      </w:pPr>
      <w:rPr>
        <w:rFonts w:ascii="Symbol" w:hAnsi="Symbol" w:cs="Symbol" w:hint="default"/>
      </w:rPr>
    </w:lvl>
    <w:lvl w:ilvl="8">
      <w:start w:val="1"/>
      <w:numFmt w:val="bullet"/>
      <w:lvlText w:val=""/>
      <w:lvlJc w:val="left"/>
      <w:pPr>
        <w:tabs>
          <w:tab w:val="num" w:pos="6381"/>
        </w:tabs>
        <w:ind w:left="6381" w:hanging="283"/>
      </w:pPr>
      <w:rPr>
        <w:rFonts w:ascii="Symbol" w:hAnsi="Symbol" w:cs="Symbol" w:hint="default"/>
      </w:rPr>
    </w:lvl>
  </w:abstractNum>
  <w:abstractNum w:abstractNumId="15">
    <w:lvl w:ilvl="0">
      <w:start w:val="1"/>
      <w:numFmt w:val="bullet"/>
      <w:lvlText w:val=""/>
      <w:lvlJc w:val="left"/>
      <w:pPr>
        <w:tabs>
          <w:tab w:val="num" w:pos="709"/>
        </w:tabs>
        <w:ind w:left="709" w:hanging="283"/>
      </w:pPr>
      <w:rPr>
        <w:rFonts w:ascii="Symbol" w:hAnsi="Symbol" w:cs="Symbol" w:hint="default"/>
      </w:rPr>
    </w:lvl>
    <w:lvl w:ilvl="1">
      <w:start w:val="1"/>
      <w:numFmt w:val="bullet"/>
      <w:lvlText w:val=""/>
      <w:lvlJc w:val="left"/>
      <w:pPr>
        <w:tabs>
          <w:tab w:val="num" w:pos="1418"/>
        </w:tabs>
        <w:ind w:left="1418" w:hanging="283"/>
      </w:pPr>
      <w:rPr>
        <w:rFonts w:ascii="Symbol" w:hAnsi="Symbol" w:cs="Symbol" w:hint="default"/>
      </w:rPr>
    </w:lvl>
    <w:lvl w:ilvl="2">
      <w:start w:val="1"/>
      <w:numFmt w:val="bullet"/>
      <w:lvlText w:val=""/>
      <w:lvlJc w:val="left"/>
      <w:pPr>
        <w:tabs>
          <w:tab w:val="num" w:pos="2127"/>
        </w:tabs>
        <w:ind w:left="2127" w:hanging="283"/>
      </w:pPr>
      <w:rPr>
        <w:rFonts w:ascii="Symbol" w:hAnsi="Symbol" w:cs="Symbol" w:hint="default"/>
      </w:rPr>
    </w:lvl>
    <w:lvl w:ilvl="3">
      <w:start w:val="1"/>
      <w:numFmt w:val="bullet"/>
      <w:lvlText w:val=""/>
      <w:lvlJc w:val="left"/>
      <w:pPr>
        <w:tabs>
          <w:tab w:val="num" w:pos="2836"/>
        </w:tabs>
        <w:ind w:left="2836" w:hanging="283"/>
      </w:pPr>
      <w:rPr>
        <w:rFonts w:ascii="Symbol" w:hAnsi="Symbol" w:cs="Symbol" w:hint="default"/>
      </w:rPr>
    </w:lvl>
    <w:lvl w:ilvl="4">
      <w:start w:val="1"/>
      <w:numFmt w:val="bullet"/>
      <w:lvlText w:val=""/>
      <w:lvlJc w:val="left"/>
      <w:pPr>
        <w:tabs>
          <w:tab w:val="num" w:pos="3545"/>
        </w:tabs>
        <w:ind w:left="3545" w:hanging="283"/>
      </w:pPr>
      <w:rPr>
        <w:rFonts w:ascii="Symbol" w:hAnsi="Symbol" w:cs="Symbol" w:hint="default"/>
      </w:rPr>
    </w:lvl>
    <w:lvl w:ilvl="5">
      <w:start w:val="1"/>
      <w:numFmt w:val="bullet"/>
      <w:lvlText w:val=""/>
      <w:lvlJc w:val="left"/>
      <w:pPr>
        <w:tabs>
          <w:tab w:val="num" w:pos="4254"/>
        </w:tabs>
        <w:ind w:left="4254" w:hanging="283"/>
      </w:pPr>
      <w:rPr>
        <w:rFonts w:ascii="Symbol" w:hAnsi="Symbol" w:cs="Symbol" w:hint="default"/>
      </w:rPr>
    </w:lvl>
    <w:lvl w:ilvl="6">
      <w:start w:val="1"/>
      <w:numFmt w:val="bullet"/>
      <w:lvlText w:val=""/>
      <w:lvlJc w:val="left"/>
      <w:pPr>
        <w:tabs>
          <w:tab w:val="num" w:pos="4963"/>
        </w:tabs>
        <w:ind w:left="4963" w:hanging="283"/>
      </w:pPr>
      <w:rPr>
        <w:rFonts w:ascii="Symbol" w:hAnsi="Symbol" w:cs="Symbol" w:hint="default"/>
      </w:rPr>
    </w:lvl>
    <w:lvl w:ilvl="7">
      <w:start w:val="1"/>
      <w:numFmt w:val="bullet"/>
      <w:lvlText w:val=""/>
      <w:lvlJc w:val="left"/>
      <w:pPr>
        <w:tabs>
          <w:tab w:val="num" w:pos="5672"/>
        </w:tabs>
        <w:ind w:left="5672" w:hanging="283"/>
      </w:pPr>
      <w:rPr>
        <w:rFonts w:ascii="Symbol" w:hAnsi="Symbol" w:cs="Symbol" w:hint="default"/>
      </w:rPr>
    </w:lvl>
    <w:lvl w:ilvl="8">
      <w:start w:val="1"/>
      <w:numFmt w:val="bullet"/>
      <w:lvlText w:val=""/>
      <w:lvlJc w:val="left"/>
      <w:pPr>
        <w:tabs>
          <w:tab w:val="num" w:pos="6381"/>
        </w:tabs>
        <w:ind w:left="6381" w:hanging="283"/>
      </w:pPr>
      <w:rPr>
        <w:rFonts w:ascii="Symbol" w:hAnsi="Symbol" w:cs="Symbol" w:hint="default"/>
      </w:rPr>
    </w:lvl>
  </w:abstractNum>
  <w:abstractNum w:abstractNumId="16">
    <w:lvl w:ilvl="0">
      <w:start w:val="1"/>
      <w:numFmt w:val="bullet"/>
      <w:lvlText w:val=""/>
      <w:lvlJc w:val="left"/>
      <w:pPr>
        <w:tabs>
          <w:tab w:val="num" w:pos="709"/>
        </w:tabs>
        <w:ind w:left="709" w:hanging="283"/>
      </w:pPr>
      <w:rPr>
        <w:rFonts w:ascii="Symbol" w:hAnsi="Symbol" w:cs="Symbol" w:hint="default"/>
      </w:rPr>
    </w:lvl>
    <w:lvl w:ilvl="1">
      <w:start w:val="1"/>
      <w:numFmt w:val="bullet"/>
      <w:lvlText w:val=""/>
      <w:lvlJc w:val="left"/>
      <w:pPr>
        <w:tabs>
          <w:tab w:val="num" w:pos="1418"/>
        </w:tabs>
        <w:ind w:left="1418" w:hanging="283"/>
      </w:pPr>
      <w:rPr>
        <w:rFonts w:ascii="Symbol" w:hAnsi="Symbol" w:cs="Symbol" w:hint="default"/>
      </w:rPr>
    </w:lvl>
    <w:lvl w:ilvl="2">
      <w:start w:val="1"/>
      <w:numFmt w:val="bullet"/>
      <w:lvlText w:val=""/>
      <w:lvlJc w:val="left"/>
      <w:pPr>
        <w:tabs>
          <w:tab w:val="num" w:pos="2127"/>
        </w:tabs>
        <w:ind w:left="2127" w:hanging="283"/>
      </w:pPr>
      <w:rPr>
        <w:rFonts w:ascii="Symbol" w:hAnsi="Symbol" w:cs="Symbol" w:hint="default"/>
      </w:rPr>
    </w:lvl>
    <w:lvl w:ilvl="3">
      <w:start w:val="1"/>
      <w:numFmt w:val="bullet"/>
      <w:lvlText w:val=""/>
      <w:lvlJc w:val="left"/>
      <w:pPr>
        <w:tabs>
          <w:tab w:val="num" w:pos="2836"/>
        </w:tabs>
        <w:ind w:left="2836" w:hanging="283"/>
      </w:pPr>
      <w:rPr>
        <w:rFonts w:ascii="Symbol" w:hAnsi="Symbol" w:cs="Symbol" w:hint="default"/>
      </w:rPr>
    </w:lvl>
    <w:lvl w:ilvl="4">
      <w:start w:val="1"/>
      <w:numFmt w:val="bullet"/>
      <w:lvlText w:val=""/>
      <w:lvlJc w:val="left"/>
      <w:pPr>
        <w:tabs>
          <w:tab w:val="num" w:pos="3545"/>
        </w:tabs>
        <w:ind w:left="3545" w:hanging="283"/>
      </w:pPr>
      <w:rPr>
        <w:rFonts w:ascii="Symbol" w:hAnsi="Symbol" w:cs="Symbol" w:hint="default"/>
      </w:rPr>
    </w:lvl>
    <w:lvl w:ilvl="5">
      <w:start w:val="1"/>
      <w:numFmt w:val="bullet"/>
      <w:lvlText w:val=""/>
      <w:lvlJc w:val="left"/>
      <w:pPr>
        <w:tabs>
          <w:tab w:val="num" w:pos="4254"/>
        </w:tabs>
        <w:ind w:left="4254" w:hanging="283"/>
      </w:pPr>
      <w:rPr>
        <w:rFonts w:ascii="Symbol" w:hAnsi="Symbol" w:cs="Symbol" w:hint="default"/>
      </w:rPr>
    </w:lvl>
    <w:lvl w:ilvl="6">
      <w:start w:val="1"/>
      <w:numFmt w:val="bullet"/>
      <w:lvlText w:val=""/>
      <w:lvlJc w:val="left"/>
      <w:pPr>
        <w:tabs>
          <w:tab w:val="num" w:pos="4963"/>
        </w:tabs>
        <w:ind w:left="4963" w:hanging="283"/>
      </w:pPr>
      <w:rPr>
        <w:rFonts w:ascii="Symbol" w:hAnsi="Symbol" w:cs="Symbol" w:hint="default"/>
      </w:rPr>
    </w:lvl>
    <w:lvl w:ilvl="7">
      <w:start w:val="1"/>
      <w:numFmt w:val="bullet"/>
      <w:lvlText w:val=""/>
      <w:lvlJc w:val="left"/>
      <w:pPr>
        <w:tabs>
          <w:tab w:val="num" w:pos="5672"/>
        </w:tabs>
        <w:ind w:left="5672" w:hanging="283"/>
      </w:pPr>
      <w:rPr>
        <w:rFonts w:ascii="Symbol" w:hAnsi="Symbol" w:cs="Symbol" w:hint="default"/>
      </w:rPr>
    </w:lvl>
    <w:lvl w:ilvl="8">
      <w:start w:val="1"/>
      <w:numFmt w:val="bullet"/>
      <w:lvlText w:val=""/>
      <w:lvlJc w:val="left"/>
      <w:pPr>
        <w:tabs>
          <w:tab w:val="num" w:pos="6381"/>
        </w:tabs>
        <w:ind w:left="6381" w:hanging="283"/>
      </w:pPr>
      <w:rPr>
        <w:rFonts w:ascii="Symbol" w:hAnsi="Symbol" w:cs="Symbol" w:hint="default"/>
      </w:rPr>
    </w:lvl>
  </w:abstractNum>
  <w:abstractNum w:abstractNumId="17">
    <w:lvl w:ilvl="0">
      <w:start w:val="1"/>
      <w:numFmt w:val="bullet"/>
      <w:lvlText w:val=""/>
      <w:lvlJc w:val="left"/>
      <w:pPr>
        <w:tabs>
          <w:tab w:val="num" w:pos="709"/>
        </w:tabs>
        <w:ind w:left="709" w:hanging="283"/>
      </w:pPr>
      <w:rPr>
        <w:rFonts w:ascii="Symbol" w:hAnsi="Symbol" w:cs="Symbol" w:hint="default"/>
      </w:rPr>
    </w:lvl>
    <w:lvl w:ilvl="1">
      <w:start w:val="1"/>
      <w:numFmt w:val="bullet"/>
      <w:lvlText w:val=""/>
      <w:lvlJc w:val="left"/>
      <w:pPr>
        <w:tabs>
          <w:tab w:val="num" w:pos="1418"/>
        </w:tabs>
        <w:ind w:left="1418" w:hanging="283"/>
      </w:pPr>
      <w:rPr>
        <w:rFonts w:ascii="Symbol" w:hAnsi="Symbol" w:cs="Symbol" w:hint="default"/>
      </w:rPr>
    </w:lvl>
    <w:lvl w:ilvl="2">
      <w:start w:val="1"/>
      <w:numFmt w:val="bullet"/>
      <w:lvlText w:val=""/>
      <w:lvlJc w:val="left"/>
      <w:pPr>
        <w:tabs>
          <w:tab w:val="num" w:pos="2127"/>
        </w:tabs>
        <w:ind w:left="2127" w:hanging="283"/>
      </w:pPr>
      <w:rPr>
        <w:rFonts w:ascii="Symbol" w:hAnsi="Symbol" w:cs="Symbol" w:hint="default"/>
      </w:rPr>
    </w:lvl>
    <w:lvl w:ilvl="3">
      <w:start w:val="1"/>
      <w:numFmt w:val="bullet"/>
      <w:lvlText w:val=""/>
      <w:lvlJc w:val="left"/>
      <w:pPr>
        <w:tabs>
          <w:tab w:val="num" w:pos="2836"/>
        </w:tabs>
        <w:ind w:left="2836" w:hanging="283"/>
      </w:pPr>
      <w:rPr>
        <w:rFonts w:ascii="Symbol" w:hAnsi="Symbol" w:cs="Symbol" w:hint="default"/>
      </w:rPr>
    </w:lvl>
    <w:lvl w:ilvl="4">
      <w:start w:val="1"/>
      <w:numFmt w:val="bullet"/>
      <w:lvlText w:val=""/>
      <w:lvlJc w:val="left"/>
      <w:pPr>
        <w:tabs>
          <w:tab w:val="num" w:pos="3545"/>
        </w:tabs>
        <w:ind w:left="3545" w:hanging="283"/>
      </w:pPr>
      <w:rPr>
        <w:rFonts w:ascii="Symbol" w:hAnsi="Symbol" w:cs="Symbol" w:hint="default"/>
      </w:rPr>
    </w:lvl>
    <w:lvl w:ilvl="5">
      <w:start w:val="1"/>
      <w:numFmt w:val="bullet"/>
      <w:lvlText w:val=""/>
      <w:lvlJc w:val="left"/>
      <w:pPr>
        <w:tabs>
          <w:tab w:val="num" w:pos="4254"/>
        </w:tabs>
        <w:ind w:left="4254" w:hanging="283"/>
      </w:pPr>
      <w:rPr>
        <w:rFonts w:ascii="Symbol" w:hAnsi="Symbol" w:cs="Symbol" w:hint="default"/>
      </w:rPr>
    </w:lvl>
    <w:lvl w:ilvl="6">
      <w:start w:val="1"/>
      <w:numFmt w:val="bullet"/>
      <w:lvlText w:val=""/>
      <w:lvlJc w:val="left"/>
      <w:pPr>
        <w:tabs>
          <w:tab w:val="num" w:pos="4963"/>
        </w:tabs>
        <w:ind w:left="4963" w:hanging="283"/>
      </w:pPr>
      <w:rPr>
        <w:rFonts w:ascii="Symbol" w:hAnsi="Symbol" w:cs="Symbol" w:hint="default"/>
      </w:rPr>
    </w:lvl>
    <w:lvl w:ilvl="7">
      <w:start w:val="1"/>
      <w:numFmt w:val="bullet"/>
      <w:lvlText w:val=""/>
      <w:lvlJc w:val="left"/>
      <w:pPr>
        <w:tabs>
          <w:tab w:val="num" w:pos="5672"/>
        </w:tabs>
        <w:ind w:left="5672" w:hanging="283"/>
      </w:pPr>
      <w:rPr>
        <w:rFonts w:ascii="Symbol" w:hAnsi="Symbol" w:cs="Symbol" w:hint="default"/>
      </w:rPr>
    </w:lvl>
    <w:lvl w:ilvl="8">
      <w:start w:val="1"/>
      <w:numFmt w:val="bullet"/>
      <w:lvlText w:val=""/>
      <w:lvlJc w:val="left"/>
      <w:pPr>
        <w:tabs>
          <w:tab w:val="num" w:pos="6381"/>
        </w:tabs>
        <w:ind w:left="6381" w:hanging="283"/>
      </w:pPr>
      <w:rPr>
        <w:rFonts w:ascii="Symbol" w:hAnsi="Symbol" w:cs="Symbol" w:hint="default"/>
      </w:rPr>
    </w:lvl>
  </w:abstractNum>
  <w:abstractNum w:abstractNumId="18">
    <w:lvl w:ilvl="0">
      <w:start w:val="1"/>
      <w:numFmt w:val="bullet"/>
      <w:lvlText w:val=""/>
      <w:lvlJc w:val="left"/>
      <w:pPr>
        <w:tabs>
          <w:tab w:val="num" w:pos="709"/>
        </w:tabs>
        <w:ind w:left="709" w:hanging="283"/>
      </w:pPr>
      <w:rPr>
        <w:rFonts w:ascii="Symbol" w:hAnsi="Symbol" w:cs="Symbol" w:hint="default"/>
      </w:rPr>
    </w:lvl>
    <w:lvl w:ilvl="1">
      <w:start w:val="1"/>
      <w:numFmt w:val="bullet"/>
      <w:lvlText w:val=""/>
      <w:lvlJc w:val="left"/>
      <w:pPr>
        <w:tabs>
          <w:tab w:val="num" w:pos="1418"/>
        </w:tabs>
        <w:ind w:left="1418" w:hanging="283"/>
      </w:pPr>
      <w:rPr>
        <w:rFonts w:ascii="Symbol" w:hAnsi="Symbol" w:cs="Symbol" w:hint="default"/>
      </w:rPr>
    </w:lvl>
    <w:lvl w:ilvl="2">
      <w:start w:val="1"/>
      <w:numFmt w:val="bullet"/>
      <w:lvlText w:val=""/>
      <w:lvlJc w:val="left"/>
      <w:pPr>
        <w:tabs>
          <w:tab w:val="num" w:pos="2127"/>
        </w:tabs>
        <w:ind w:left="2127" w:hanging="283"/>
      </w:pPr>
      <w:rPr>
        <w:rFonts w:ascii="Symbol" w:hAnsi="Symbol" w:cs="Symbol" w:hint="default"/>
      </w:rPr>
    </w:lvl>
    <w:lvl w:ilvl="3">
      <w:start w:val="1"/>
      <w:numFmt w:val="bullet"/>
      <w:lvlText w:val=""/>
      <w:lvlJc w:val="left"/>
      <w:pPr>
        <w:tabs>
          <w:tab w:val="num" w:pos="2836"/>
        </w:tabs>
        <w:ind w:left="2836" w:hanging="283"/>
      </w:pPr>
      <w:rPr>
        <w:rFonts w:ascii="Symbol" w:hAnsi="Symbol" w:cs="Symbol" w:hint="default"/>
      </w:rPr>
    </w:lvl>
    <w:lvl w:ilvl="4">
      <w:start w:val="1"/>
      <w:numFmt w:val="bullet"/>
      <w:lvlText w:val=""/>
      <w:lvlJc w:val="left"/>
      <w:pPr>
        <w:tabs>
          <w:tab w:val="num" w:pos="3545"/>
        </w:tabs>
        <w:ind w:left="3545" w:hanging="283"/>
      </w:pPr>
      <w:rPr>
        <w:rFonts w:ascii="Symbol" w:hAnsi="Symbol" w:cs="Symbol" w:hint="default"/>
      </w:rPr>
    </w:lvl>
    <w:lvl w:ilvl="5">
      <w:start w:val="1"/>
      <w:numFmt w:val="bullet"/>
      <w:lvlText w:val=""/>
      <w:lvlJc w:val="left"/>
      <w:pPr>
        <w:tabs>
          <w:tab w:val="num" w:pos="4254"/>
        </w:tabs>
        <w:ind w:left="4254" w:hanging="283"/>
      </w:pPr>
      <w:rPr>
        <w:rFonts w:ascii="Symbol" w:hAnsi="Symbol" w:cs="Symbol" w:hint="default"/>
      </w:rPr>
    </w:lvl>
    <w:lvl w:ilvl="6">
      <w:start w:val="1"/>
      <w:numFmt w:val="bullet"/>
      <w:lvlText w:val=""/>
      <w:lvlJc w:val="left"/>
      <w:pPr>
        <w:tabs>
          <w:tab w:val="num" w:pos="4963"/>
        </w:tabs>
        <w:ind w:left="4963" w:hanging="283"/>
      </w:pPr>
      <w:rPr>
        <w:rFonts w:ascii="Symbol" w:hAnsi="Symbol" w:cs="Symbol" w:hint="default"/>
      </w:rPr>
    </w:lvl>
    <w:lvl w:ilvl="7">
      <w:start w:val="1"/>
      <w:numFmt w:val="bullet"/>
      <w:lvlText w:val=""/>
      <w:lvlJc w:val="left"/>
      <w:pPr>
        <w:tabs>
          <w:tab w:val="num" w:pos="5672"/>
        </w:tabs>
        <w:ind w:left="5672" w:hanging="283"/>
      </w:pPr>
      <w:rPr>
        <w:rFonts w:ascii="Symbol" w:hAnsi="Symbol" w:cs="Symbol" w:hint="default"/>
      </w:rPr>
    </w:lvl>
    <w:lvl w:ilvl="8">
      <w:start w:val="1"/>
      <w:numFmt w:val="bullet"/>
      <w:lvlText w:val=""/>
      <w:lvlJc w:val="left"/>
      <w:pPr>
        <w:tabs>
          <w:tab w:val="num" w:pos="6381"/>
        </w:tabs>
        <w:ind w:left="6381" w:hanging="283"/>
      </w:pPr>
      <w:rPr>
        <w:rFonts w:ascii="Symbol" w:hAnsi="Symbol" w:cs="Symbol" w:hint="default"/>
      </w:rPr>
    </w:lvl>
  </w:abstractNum>
  <w:abstractNum w:abstractNumId="19">
    <w:lvl w:ilvl="0">
      <w:start w:val="1"/>
      <w:numFmt w:val="bullet"/>
      <w:lvlText w:val=""/>
      <w:lvlJc w:val="left"/>
      <w:pPr>
        <w:tabs>
          <w:tab w:val="num" w:pos="709"/>
        </w:tabs>
        <w:ind w:left="709" w:hanging="283"/>
      </w:pPr>
      <w:rPr>
        <w:rFonts w:ascii="Symbol" w:hAnsi="Symbol" w:cs="Symbol" w:hint="default"/>
      </w:rPr>
    </w:lvl>
    <w:lvl w:ilvl="1">
      <w:start w:val="1"/>
      <w:numFmt w:val="bullet"/>
      <w:lvlText w:val=""/>
      <w:lvlJc w:val="left"/>
      <w:pPr>
        <w:tabs>
          <w:tab w:val="num" w:pos="1418"/>
        </w:tabs>
        <w:ind w:left="1418" w:hanging="283"/>
      </w:pPr>
      <w:rPr>
        <w:rFonts w:ascii="Symbol" w:hAnsi="Symbol" w:cs="Symbol" w:hint="default"/>
      </w:rPr>
    </w:lvl>
    <w:lvl w:ilvl="2">
      <w:start w:val="1"/>
      <w:numFmt w:val="bullet"/>
      <w:lvlText w:val=""/>
      <w:lvlJc w:val="left"/>
      <w:pPr>
        <w:tabs>
          <w:tab w:val="num" w:pos="2127"/>
        </w:tabs>
        <w:ind w:left="2127" w:hanging="283"/>
      </w:pPr>
      <w:rPr>
        <w:rFonts w:ascii="Symbol" w:hAnsi="Symbol" w:cs="Symbol" w:hint="default"/>
      </w:rPr>
    </w:lvl>
    <w:lvl w:ilvl="3">
      <w:start w:val="1"/>
      <w:numFmt w:val="bullet"/>
      <w:lvlText w:val=""/>
      <w:lvlJc w:val="left"/>
      <w:pPr>
        <w:tabs>
          <w:tab w:val="num" w:pos="2836"/>
        </w:tabs>
        <w:ind w:left="2836" w:hanging="283"/>
      </w:pPr>
      <w:rPr>
        <w:rFonts w:ascii="Symbol" w:hAnsi="Symbol" w:cs="Symbol" w:hint="default"/>
      </w:rPr>
    </w:lvl>
    <w:lvl w:ilvl="4">
      <w:start w:val="1"/>
      <w:numFmt w:val="bullet"/>
      <w:lvlText w:val=""/>
      <w:lvlJc w:val="left"/>
      <w:pPr>
        <w:tabs>
          <w:tab w:val="num" w:pos="3545"/>
        </w:tabs>
        <w:ind w:left="3545" w:hanging="283"/>
      </w:pPr>
      <w:rPr>
        <w:rFonts w:ascii="Symbol" w:hAnsi="Symbol" w:cs="Symbol" w:hint="default"/>
      </w:rPr>
    </w:lvl>
    <w:lvl w:ilvl="5">
      <w:start w:val="1"/>
      <w:numFmt w:val="bullet"/>
      <w:lvlText w:val=""/>
      <w:lvlJc w:val="left"/>
      <w:pPr>
        <w:tabs>
          <w:tab w:val="num" w:pos="4254"/>
        </w:tabs>
        <w:ind w:left="4254" w:hanging="283"/>
      </w:pPr>
      <w:rPr>
        <w:rFonts w:ascii="Symbol" w:hAnsi="Symbol" w:cs="Symbol" w:hint="default"/>
      </w:rPr>
    </w:lvl>
    <w:lvl w:ilvl="6">
      <w:start w:val="1"/>
      <w:numFmt w:val="bullet"/>
      <w:lvlText w:val=""/>
      <w:lvlJc w:val="left"/>
      <w:pPr>
        <w:tabs>
          <w:tab w:val="num" w:pos="4963"/>
        </w:tabs>
        <w:ind w:left="4963" w:hanging="283"/>
      </w:pPr>
      <w:rPr>
        <w:rFonts w:ascii="Symbol" w:hAnsi="Symbol" w:cs="Symbol" w:hint="default"/>
      </w:rPr>
    </w:lvl>
    <w:lvl w:ilvl="7">
      <w:start w:val="1"/>
      <w:numFmt w:val="bullet"/>
      <w:lvlText w:val=""/>
      <w:lvlJc w:val="left"/>
      <w:pPr>
        <w:tabs>
          <w:tab w:val="num" w:pos="5672"/>
        </w:tabs>
        <w:ind w:left="5672" w:hanging="283"/>
      </w:pPr>
      <w:rPr>
        <w:rFonts w:ascii="Symbol" w:hAnsi="Symbol" w:cs="Symbol" w:hint="default"/>
      </w:rPr>
    </w:lvl>
    <w:lvl w:ilvl="8">
      <w:start w:val="1"/>
      <w:numFmt w:val="bullet"/>
      <w:lvlText w:val=""/>
      <w:lvlJc w:val="left"/>
      <w:pPr>
        <w:tabs>
          <w:tab w:val="num" w:pos="6381"/>
        </w:tabs>
        <w:ind w:left="6381" w:hanging="283"/>
      </w:pPr>
      <w:rPr>
        <w:rFonts w:ascii="Symbol" w:hAnsi="Symbol" w:cs="Symbol" w:hint="default"/>
      </w:rPr>
    </w:lvl>
  </w:abstractNum>
  <w:abstractNum w:abstractNumId="20">
    <w:lvl w:ilvl="0">
      <w:start w:val="1"/>
      <w:numFmt w:val="bullet"/>
      <w:lvlText w:val=""/>
      <w:lvlJc w:val="left"/>
      <w:pPr>
        <w:tabs>
          <w:tab w:val="num" w:pos="709"/>
        </w:tabs>
        <w:ind w:left="709" w:hanging="283"/>
      </w:pPr>
      <w:rPr>
        <w:rFonts w:ascii="Symbol" w:hAnsi="Symbol" w:cs="Symbol" w:hint="default"/>
      </w:rPr>
    </w:lvl>
    <w:lvl w:ilvl="1">
      <w:start w:val="1"/>
      <w:numFmt w:val="bullet"/>
      <w:lvlText w:val=""/>
      <w:lvlJc w:val="left"/>
      <w:pPr>
        <w:tabs>
          <w:tab w:val="num" w:pos="1418"/>
        </w:tabs>
        <w:ind w:left="1418" w:hanging="283"/>
      </w:pPr>
      <w:rPr>
        <w:rFonts w:ascii="Symbol" w:hAnsi="Symbol" w:cs="Symbol" w:hint="default"/>
      </w:rPr>
    </w:lvl>
    <w:lvl w:ilvl="2">
      <w:start w:val="1"/>
      <w:numFmt w:val="bullet"/>
      <w:lvlText w:val=""/>
      <w:lvlJc w:val="left"/>
      <w:pPr>
        <w:tabs>
          <w:tab w:val="num" w:pos="2127"/>
        </w:tabs>
        <w:ind w:left="2127" w:hanging="283"/>
      </w:pPr>
      <w:rPr>
        <w:rFonts w:ascii="Symbol" w:hAnsi="Symbol" w:cs="Symbol" w:hint="default"/>
      </w:rPr>
    </w:lvl>
    <w:lvl w:ilvl="3">
      <w:start w:val="1"/>
      <w:numFmt w:val="bullet"/>
      <w:lvlText w:val=""/>
      <w:lvlJc w:val="left"/>
      <w:pPr>
        <w:tabs>
          <w:tab w:val="num" w:pos="2836"/>
        </w:tabs>
        <w:ind w:left="2836" w:hanging="283"/>
      </w:pPr>
      <w:rPr>
        <w:rFonts w:ascii="Symbol" w:hAnsi="Symbol" w:cs="Symbol" w:hint="default"/>
      </w:rPr>
    </w:lvl>
    <w:lvl w:ilvl="4">
      <w:start w:val="1"/>
      <w:numFmt w:val="bullet"/>
      <w:lvlText w:val=""/>
      <w:lvlJc w:val="left"/>
      <w:pPr>
        <w:tabs>
          <w:tab w:val="num" w:pos="3545"/>
        </w:tabs>
        <w:ind w:left="3545" w:hanging="283"/>
      </w:pPr>
      <w:rPr>
        <w:rFonts w:ascii="Symbol" w:hAnsi="Symbol" w:cs="Symbol" w:hint="default"/>
      </w:rPr>
    </w:lvl>
    <w:lvl w:ilvl="5">
      <w:start w:val="1"/>
      <w:numFmt w:val="bullet"/>
      <w:lvlText w:val=""/>
      <w:lvlJc w:val="left"/>
      <w:pPr>
        <w:tabs>
          <w:tab w:val="num" w:pos="4254"/>
        </w:tabs>
        <w:ind w:left="4254" w:hanging="283"/>
      </w:pPr>
      <w:rPr>
        <w:rFonts w:ascii="Symbol" w:hAnsi="Symbol" w:cs="Symbol" w:hint="default"/>
      </w:rPr>
    </w:lvl>
    <w:lvl w:ilvl="6">
      <w:start w:val="1"/>
      <w:numFmt w:val="bullet"/>
      <w:lvlText w:val=""/>
      <w:lvlJc w:val="left"/>
      <w:pPr>
        <w:tabs>
          <w:tab w:val="num" w:pos="4963"/>
        </w:tabs>
        <w:ind w:left="4963" w:hanging="283"/>
      </w:pPr>
      <w:rPr>
        <w:rFonts w:ascii="Symbol" w:hAnsi="Symbol" w:cs="Symbol" w:hint="default"/>
      </w:rPr>
    </w:lvl>
    <w:lvl w:ilvl="7">
      <w:start w:val="1"/>
      <w:numFmt w:val="bullet"/>
      <w:lvlText w:val=""/>
      <w:lvlJc w:val="left"/>
      <w:pPr>
        <w:tabs>
          <w:tab w:val="num" w:pos="5672"/>
        </w:tabs>
        <w:ind w:left="5672" w:hanging="283"/>
      </w:pPr>
      <w:rPr>
        <w:rFonts w:ascii="Symbol" w:hAnsi="Symbol" w:cs="Symbol" w:hint="default"/>
      </w:rPr>
    </w:lvl>
    <w:lvl w:ilvl="8">
      <w:start w:val="1"/>
      <w:numFmt w:val="bullet"/>
      <w:lvlText w:val=""/>
      <w:lvlJc w:val="left"/>
      <w:pPr>
        <w:tabs>
          <w:tab w:val="num" w:pos="6381"/>
        </w:tabs>
        <w:ind w:left="6381" w:hanging="283"/>
      </w:pPr>
      <w:rPr>
        <w:rFonts w:ascii="Symbol" w:hAnsi="Symbol" w:cs="Symbol" w:hint="default"/>
      </w:rPr>
    </w:lvl>
  </w:abstractNum>
  <w:abstractNum w:abstractNumId="21">
    <w:lvl w:ilvl="0">
      <w:start w:val="1"/>
      <w:numFmt w:val="bullet"/>
      <w:lvlText w:val=""/>
      <w:lvlJc w:val="left"/>
      <w:pPr>
        <w:tabs>
          <w:tab w:val="num" w:pos="709"/>
        </w:tabs>
        <w:ind w:left="709" w:hanging="283"/>
      </w:pPr>
      <w:rPr>
        <w:rFonts w:ascii="Symbol" w:hAnsi="Symbol" w:cs="Symbol" w:hint="default"/>
      </w:rPr>
    </w:lvl>
    <w:lvl w:ilvl="1">
      <w:start w:val="1"/>
      <w:numFmt w:val="bullet"/>
      <w:lvlText w:val=""/>
      <w:lvlJc w:val="left"/>
      <w:pPr>
        <w:tabs>
          <w:tab w:val="num" w:pos="1418"/>
        </w:tabs>
        <w:ind w:left="1418" w:hanging="283"/>
      </w:pPr>
      <w:rPr>
        <w:rFonts w:ascii="Symbol" w:hAnsi="Symbol" w:cs="Symbol" w:hint="default"/>
      </w:rPr>
    </w:lvl>
    <w:lvl w:ilvl="2">
      <w:start w:val="1"/>
      <w:numFmt w:val="bullet"/>
      <w:lvlText w:val=""/>
      <w:lvlJc w:val="left"/>
      <w:pPr>
        <w:tabs>
          <w:tab w:val="num" w:pos="2127"/>
        </w:tabs>
        <w:ind w:left="2127" w:hanging="283"/>
      </w:pPr>
      <w:rPr>
        <w:rFonts w:ascii="Symbol" w:hAnsi="Symbol" w:cs="Symbol" w:hint="default"/>
      </w:rPr>
    </w:lvl>
    <w:lvl w:ilvl="3">
      <w:start w:val="1"/>
      <w:numFmt w:val="bullet"/>
      <w:lvlText w:val=""/>
      <w:lvlJc w:val="left"/>
      <w:pPr>
        <w:tabs>
          <w:tab w:val="num" w:pos="2836"/>
        </w:tabs>
        <w:ind w:left="2836" w:hanging="283"/>
      </w:pPr>
      <w:rPr>
        <w:rFonts w:ascii="Symbol" w:hAnsi="Symbol" w:cs="Symbol" w:hint="default"/>
      </w:rPr>
    </w:lvl>
    <w:lvl w:ilvl="4">
      <w:start w:val="1"/>
      <w:numFmt w:val="bullet"/>
      <w:lvlText w:val=""/>
      <w:lvlJc w:val="left"/>
      <w:pPr>
        <w:tabs>
          <w:tab w:val="num" w:pos="3545"/>
        </w:tabs>
        <w:ind w:left="3545" w:hanging="283"/>
      </w:pPr>
      <w:rPr>
        <w:rFonts w:ascii="Symbol" w:hAnsi="Symbol" w:cs="Symbol" w:hint="default"/>
      </w:rPr>
    </w:lvl>
    <w:lvl w:ilvl="5">
      <w:start w:val="1"/>
      <w:numFmt w:val="bullet"/>
      <w:lvlText w:val=""/>
      <w:lvlJc w:val="left"/>
      <w:pPr>
        <w:tabs>
          <w:tab w:val="num" w:pos="4254"/>
        </w:tabs>
        <w:ind w:left="4254" w:hanging="283"/>
      </w:pPr>
      <w:rPr>
        <w:rFonts w:ascii="Symbol" w:hAnsi="Symbol" w:cs="Symbol" w:hint="default"/>
      </w:rPr>
    </w:lvl>
    <w:lvl w:ilvl="6">
      <w:start w:val="1"/>
      <w:numFmt w:val="bullet"/>
      <w:lvlText w:val=""/>
      <w:lvlJc w:val="left"/>
      <w:pPr>
        <w:tabs>
          <w:tab w:val="num" w:pos="4963"/>
        </w:tabs>
        <w:ind w:left="4963" w:hanging="283"/>
      </w:pPr>
      <w:rPr>
        <w:rFonts w:ascii="Symbol" w:hAnsi="Symbol" w:cs="Symbol" w:hint="default"/>
      </w:rPr>
    </w:lvl>
    <w:lvl w:ilvl="7">
      <w:start w:val="1"/>
      <w:numFmt w:val="bullet"/>
      <w:lvlText w:val=""/>
      <w:lvlJc w:val="left"/>
      <w:pPr>
        <w:tabs>
          <w:tab w:val="num" w:pos="5672"/>
        </w:tabs>
        <w:ind w:left="5672" w:hanging="283"/>
      </w:pPr>
      <w:rPr>
        <w:rFonts w:ascii="Symbol" w:hAnsi="Symbol" w:cs="Symbol" w:hint="default"/>
      </w:rPr>
    </w:lvl>
    <w:lvl w:ilvl="8">
      <w:start w:val="1"/>
      <w:numFmt w:val="bullet"/>
      <w:lvlText w:val=""/>
      <w:lvlJc w:val="left"/>
      <w:pPr>
        <w:tabs>
          <w:tab w:val="num" w:pos="6381"/>
        </w:tabs>
        <w:ind w:left="6381" w:hanging="283"/>
      </w:pPr>
      <w:rPr>
        <w:rFonts w:ascii="Symbol" w:hAnsi="Symbol" w:cs="Symbol" w:hint="default"/>
      </w:rPr>
    </w:lvl>
  </w:abstractNum>
  <w:abstractNum w:abstractNumId="22">
    <w:lvl w:ilvl="0">
      <w:start w:val="1"/>
      <w:numFmt w:val="bullet"/>
      <w:lvlText w:val=""/>
      <w:lvlJc w:val="left"/>
      <w:pPr>
        <w:tabs>
          <w:tab w:val="num" w:pos="709"/>
        </w:tabs>
        <w:ind w:left="709" w:hanging="283"/>
      </w:pPr>
      <w:rPr>
        <w:rFonts w:ascii="Symbol" w:hAnsi="Symbol" w:cs="Symbol" w:hint="default"/>
      </w:rPr>
    </w:lvl>
    <w:lvl w:ilvl="1">
      <w:start w:val="1"/>
      <w:numFmt w:val="bullet"/>
      <w:lvlText w:val=""/>
      <w:lvlJc w:val="left"/>
      <w:pPr>
        <w:tabs>
          <w:tab w:val="num" w:pos="1418"/>
        </w:tabs>
        <w:ind w:left="1418" w:hanging="283"/>
      </w:pPr>
      <w:rPr>
        <w:rFonts w:ascii="Symbol" w:hAnsi="Symbol" w:cs="Symbol" w:hint="default"/>
      </w:rPr>
    </w:lvl>
    <w:lvl w:ilvl="2">
      <w:start w:val="1"/>
      <w:numFmt w:val="bullet"/>
      <w:lvlText w:val=""/>
      <w:lvlJc w:val="left"/>
      <w:pPr>
        <w:tabs>
          <w:tab w:val="num" w:pos="2127"/>
        </w:tabs>
        <w:ind w:left="2127" w:hanging="283"/>
      </w:pPr>
      <w:rPr>
        <w:rFonts w:ascii="Symbol" w:hAnsi="Symbol" w:cs="Symbol" w:hint="default"/>
      </w:rPr>
    </w:lvl>
    <w:lvl w:ilvl="3">
      <w:start w:val="1"/>
      <w:numFmt w:val="bullet"/>
      <w:lvlText w:val=""/>
      <w:lvlJc w:val="left"/>
      <w:pPr>
        <w:tabs>
          <w:tab w:val="num" w:pos="2836"/>
        </w:tabs>
        <w:ind w:left="2836" w:hanging="283"/>
      </w:pPr>
      <w:rPr>
        <w:rFonts w:ascii="Symbol" w:hAnsi="Symbol" w:cs="Symbol" w:hint="default"/>
      </w:rPr>
    </w:lvl>
    <w:lvl w:ilvl="4">
      <w:start w:val="1"/>
      <w:numFmt w:val="bullet"/>
      <w:lvlText w:val=""/>
      <w:lvlJc w:val="left"/>
      <w:pPr>
        <w:tabs>
          <w:tab w:val="num" w:pos="3545"/>
        </w:tabs>
        <w:ind w:left="3545" w:hanging="283"/>
      </w:pPr>
      <w:rPr>
        <w:rFonts w:ascii="Symbol" w:hAnsi="Symbol" w:cs="Symbol" w:hint="default"/>
      </w:rPr>
    </w:lvl>
    <w:lvl w:ilvl="5">
      <w:start w:val="1"/>
      <w:numFmt w:val="bullet"/>
      <w:lvlText w:val=""/>
      <w:lvlJc w:val="left"/>
      <w:pPr>
        <w:tabs>
          <w:tab w:val="num" w:pos="4254"/>
        </w:tabs>
        <w:ind w:left="4254" w:hanging="283"/>
      </w:pPr>
      <w:rPr>
        <w:rFonts w:ascii="Symbol" w:hAnsi="Symbol" w:cs="Symbol" w:hint="default"/>
      </w:rPr>
    </w:lvl>
    <w:lvl w:ilvl="6">
      <w:start w:val="1"/>
      <w:numFmt w:val="bullet"/>
      <w:lvlText w:val=""/>
      <w:lvlJc w:val="left"/>
      <w:pPr>
        <w:tabs>
          <w:tab w:val="num" w:pos="4963"/>
        </w:tabs>
        <w:ind w:left="4963" w:hanging="283"/>
      </w:pPr>
      <w:rPr>
        <w:rFonts w:ascii="Symbol" w:hAnsi="Symbol" w:cs="Symbol" w:hint="default"/>
      </w:rPr>
    </w:lvl>
    <w:lvl w:ilvl="7">
      <w:start w:val="1"/>
      <w:numFmt w:val="bullet"/>
      <w:lvlText w:val=""/>
      <w:lvlJc w:val="left"/>
      <w:pPr>
        <w:tabs>
          <w:tab w:val="num" w:pos="5672"/>
        </w:tabs>
        <w:ind w:left="5672" w:hanging="283"/>
      </w:pPr>
      <w:rPr>
        <w:rFonts w:ascii="Symbol" w:hAnsi="Symbol" w:cs="Symbol" w:hint="default"/>
      </w:rPr>
    </w:lvl>
    <w:lvl w:ilvl="8">
      <w:start w:val="1"/>
      <w:numFmt w:val="bullet"/>
      <w:lvlText w:val=""/>
      <w:lvlJc w:val="left"/>
      <w:pPr>
        <w:tabs>
          <w:tab w:val="num" w:pos="6381"/>
        </w:tabs>
        <w:ind w:left="6381" w:hanging="283"/>
      </w:pPr>
      <w:rPr>
        <w:rFonts w:ascii="Symbol" w:hAnsi="Symbol" w:cs="Symbol" w:hint="default"/>
      </w:rPr>
    </w:lvl>
  </w:abstractNum>
  <w:abstractNum w:abstractNumId="23">
    <w:lvl w:ilvl="0">
      <w:start w:val="1"/>
      <w:numFmt w:val="bullet"/>
      <w:lvlText w:val=""/>
      <w:lvlJc w:val="left"/>
      <w:pPr>
        <w:tabs>
          <w:tab w:val="num" w:pos="709"/>
        </w:tabs>
        <w:ind w:left="709" w:hanging="283"/>
      </w:pPr>
      <w:rPr>
        <w:rFonts w:ascii="Symbol" w:hAnsi="Symbol" w:cs="Symbol" w:hint="default"/>
      </w:rPr>
    </w:lvl>
    <w:lvl w:ilvl="1">
      <w:start w:val="1"/>
      <w:numFmt w:val="bullet"/>
      <w:lvlText w:val=""/>
      <w:lvlJc w:val="left"/>
      <w:pPr>
        <w:tabs>
          <w:tab w:val="num" w:pos="1418"/>
        </w:tabs>
        <w:ind w:left="1418" w:hanging="283"/>
      </w:pPr>
      <w:rPr>
        <w:rFonts w:ascii="Symbol" w:hAnsi="Symbol" w:cs="Symbol" w:hint="default"/>
      </w:rPr>
    </w:lvl>
    <w:lvl w:ilvl="2">
      <w:start w:val="1"/>
      <w:numFmt w:val="bullet"/>
      <w:lvlText w:val=""/>
      <w:lvlJc w:val="left"/>
      <w:pPr>
        <w:tabs>
          <w:tab w:val="num" w:pos="2127"/>
        </w:tabs>
        <w:ind w:left="2127" w:hanging="283"/>
      </w:pPr>
      <w:rPr>
        <w:rFonts w:ascii="Symbol" w:hAnsi="Symbol" w:cs="Symbol" w:hint="default"/>
      </w:rPr>
    </w:lvl>
    <w:lvl w:ilvl="3">
      <w:start w:val="1"/>
      <w:numFmt w:val="bullet"/>
      <w:lvlText w:val=""/>
      <w:lvlJc w:val="left"/>
      <w:pPr>
        <w:tabs>
          <w:tab w:val="num" w:pos="2836"/>
        </w:tabs>
        <w:ind w:left="2836" w:hanging="283"/>
      </w:pPr>
      <w:rPr>
        <w:rFonts w:ascii="Symbol" w:hAnsi="Symbol" w:cs="Symbol" w:hint="default"/>
      </w:rPr>
    </w:lvl>
    <w:lvl w:ilvl="4">
      <w:start w:val="1"/>
      <w:numFmt w:val="bullet"/>
      <w:lvlText w:val=""/>
      <w:lvlJc w:val="left"/>
      <w:pPr>
        <w:tabs>
          <w:tab w:val="num" w:pos="3545"/>
        </w:tabs>
        <w:ind w:left="3545" w:hanging="283"/>
      </w:pPr>
      <w:rPr>
        <w:rFonts w:ascii="Symbol" w:hAnsi="Symbol" w:cs="Symbol" w:hint="default"/>
      </w:rPr>
    </w:lvl>
    <w:lvl w:ilvl="5">
      <w:start w:val="1"/>
      <w:numFmt w:val="bullet"/>
      <w:lvlText w:val=""/>
      <w:lvlJc w:val="left"/>
      <w:pPr>
        <w:tabs>
          <w:tab w:val="num" w:pos="4254"/>
        </w:tabs>
        <w:ind w:left="4254" w:hanging="283"/>
      </w:pPr>
      <w:rPr>
        <w:rFonts w:ascii="Symbol" w:hAnsi="Symbol" w:cs="Symbol" w:hint="default"/>
      </w:rPr>
    </w:lvl>
    <w:lvl w:ilvl="6">
      <w:start w:val="1"/>
      <w:numFmt w:val="bullet"/>
      <w:lvlText w:val=""/>
      <w:lvlJc w:val="left"/>
      <w:pPr>
        <w:tabs>
          <w:tab w:val="num" w:pos="4963"/>
        </w:tabs>
        <w:ind w:left="4963" w:hanging="283"/>
      </w:pPr>
      <w:rPr>
        <w:rFonts w:ascii="Symbol" w:hAnsi="Symbol" w:cs="Symbol" w:hint="default"/>
      </w:rPr>
    </w:lvl>
    <w:lvl w:ilvl="7">
      <w:start w:val="1"/>
      <w:numFmt w:val="bullet"/>
      <w:lvlText w:val=""/>
      <w:lvlJc w:val="left"/>
      <w:pPr>
        <w:tabs>
          <w:tab w:val="num" w:pos="5672"/>
        </w:tabs>
        <w:ind w:left="5672" w:hanging="283"/>
      </w:pPr>
      <w:rPr>
        <w:rFonts w:ascii="Symbol" w:hAnsi="Symbol" w:cs="Symbol" w:hint="default"/>
      </w:rPr>
    </w:lvl>
    <w:lvl w:ilvl="8">
      <w:start w:val="1"/>
      <w:numFmt w:val="bullet"/>
      <w:lvlText w:val=""/>
      <w:lvlJc w:val="left"/>
      <w:pPr>
        <w:tabs>
          <w:tab w:val="num" w:pos="6381"/>
        </w:tabs>
        <w:ind w:left="6381" w:hanging="283"/>
      </w:pPr>
      <w:rPr>
        <w:rFonts w:ascii="Symbol" w:hAnsi="Symbol" w:cs="Symbol" w:hint="default"/>
      </w:rPr>
    </w:lvl>
  </w:abstractNum>
  <w:abstractNum w:abstractNumId="24">
    <w:lvl w:ilvl="0">
      <w:start w:val="1"/>
      <w:numFmt w:val="bullet"/>
      <w:lvlText w:val=""/>
      <w:lvlJc w:val="left"/>
      <w:pPr>
        <w:tabs>
          <w:tab w:val="num" w:pos="709"/>
        </w:tabs>
        <w:ind w:left="709" w:hanging="283"/>
      </w:pPr>
      <w:rPr>
        <w:rFonts w:ascii="Symbol" w:hAnsi="Symbol" w:cs="Symbol" w:hint="default"/>
      </w:rPr>
    </w:lvl>
    <w:lvl w:ilvl="1">
      <w:start w:val="1"/>
      <w:numFmt w:val="bullet"/>
      <w:lvlText w:val=""/>
      <w:lvlJc w:val="left"/>
      <w:pPr>
        <w:tabs>
          <w:tab w:val="num" w:pos="1418"/>
        </w:tabs>
        <w:ind w:left="1418" w:hanging="283"/>
      </w:pPr>
      <w:rPr>
        <w:rFonts w:ascii="Symbol" w:hAnsi="Symbol" w:cs="Symbol" w:hint="default"/>
      </w:rPr>
    </w:lvl>
    <w:lvl w:ilvl="2">
      <w:start w:val="1"/>
      <w:numFmt w:val="bullet"/>
      <w:lvlText w:val=""/>
      <w:lvlJc w:val="left"/>
      <w:pPr>
        <w:tabs>
          <w:tab w:val="num" w:pos="2127"/>
        </w:tabs>
        <w:ind w:left="2127" w:hanging="283"/>
      </w:pPr>
      <w:rPr>
        <w:rFonts w:ascii="Symbol" w:hAnsi="Symbol" w:cs="Symbol" w:hint="default"/>
      </w:rPr>
    </w:lvl>
    <w:lvl w:ilvl="3">
      <w:start w:val="1"/>
      <w:numFmt w:val="bullet"/>
      <w:lvlText w:val=""/>
      <w:lvlJc w:val="left"/>
      <w:pPr>
        <w:tabs>
          <w:tab w:val="num" w:pos="2836"/>
        </w:tabs>
        <w:ind w:left="2836" w:hanging="283"/>
      </w:pPr>
      <w:rPr>
        <w:rFonts w:ascii="Symbol" w:hAnsi="Symbol" w:cs="Symbol" w:hint="default"/>
      </w:rPr>
    </w:lvl>
    <w:lvl w:ilvl="4">
      <w:start w:val="1"/>
      <w:numFmt w:val="bullet"/>
      <w:lvlText w:val=""/>
      <w:lvlJc w:val="left"/>
      <w:pPr>
        <w:tabs>
          <w:tab w:val="num" w:pos="3545"/>
        </w:tabs>
        <w:ind w:left="3545" w:hanging="283"/>
      </w:pPr>
      <w:rPr>
        <w:rFonts w:ascii="Symbol" w:hAnsi="Symbol" w:cs="Symbol" w:hint="default"/>
      </w:rPr>
    </w:lvl>
    <w:lvl w:ilvl="5">
      <w:start w:val="1"/>
      <w:numFmt w:val="bullet"/>
      <w:lvlText w:val=""/>
      <w:lvlJc w:val="left"/>
      <w:pPr>
        <w:tabs>
          <w:tab w:val="num" w:pos="4254"/>
        </w:tabs>
        <w:ind w:left="4254" w:hanging="283"/>
      </w:pPr>
      <w:rPr>
        <w:rFonts w:ascii="Symbol" w:hAnsi="Symbol" w:cs="Symbol" w:hint="default"/>
      </w:rPr>
    </w:lvl>
    <w:lvl w:ilvl="6">
      <w:start w:val="1"/>
      <w:numFmt w:val="bullet"/>
      <w:lvlText w:val=""/>
      <w:lvlJc w:val="left"/>
      <w:pPr>
        <w:tabs>
          <w:tab w:val="num" w:pos="4963"/>
        </w:tabs>
        <w:ind w:left="4963" w:hanging="283"/>
      </w:pPr>
      <w:rPr>
        <w:rFonts w:ascii="Symbol" w:hAnsi="Symbol" w:cs="Symbol" w:hint="default"/>
      </w:rPr>
    </w:lvl>
    <w:lvl w:ilvl="7">
      <w:start w:val="1"/>
      <w:numFmt w:val="bullet"/>
      <w:lvlText w:val=""/>
      <w:lvlJc w:val="left"/>
      <w:pPr>
        <w:tabs>
          <w:tab w:val="num" w:pos="5672"/>
        </w:tabs>
        <w:ind w:left="5672" w:hanging="283"/>
      </w:pPr>
      <w:rPr>
        <w:rFonts w:ascii="Symbol" w:hAnsi="Symbol" w:cs="Symbol" w:hint="default"/>
      </w:rPr>
    </w:lvl>
    <w:lvl w:ilvl="8">
      <w:start w:val="1"/>
      <w:numFmt w:val="bullet"/>
      <w:lvlText w:val=""/>
      <w:lvlJc w:val="left"/>
      <w:pPr>
        <w:tabs>
          <w:tab w:val="num" w:pos="6381"/>
        </w:tabs>
        <w:ind w:left="6381" w:hanging="283"/>
      </w:pPr>
      <w:rPr>
        <w:rFonts w:ascii="Symbol" w:hAnsi="Symbol" w:cs="Symbol" w:hint="default"/>
      </w:rPr>
    </w:lvl>
  </w:abstractNum>
  <w:abstractNum w:abstractNumId="25">
    <w:lvl w:ilvl="0">
      <w:start w:val="1"/>
      <w:numFmt w:val="bullet"/>
      <w:lvlText w:val=""/>
      <w:lvlJc w:val="left"/>
      <w:pPr>
        <w:tabs>
          <w:tab w:val="num" w:pos="709"/>
        </w:tabs>
        <w:ind w:left="709" w:hanging="283"/>
      </w:pPr>
      <w:rPr>
        <w:rFonts w:ascii="Symbol" w:hAnsi="Symbol" w:cs="Symbol" w:hint="default"/>
      </w:rPr>
    </w:lvl>
    <w:lvl w:ilvl="1">
      <w:start w:val="1"/>
      <w:numFmt w:val="bullet"/>
      <w:lvlText w:val=""/>
      <w:lvlJc w:val="left"/>
      <w:pPr>
        <w:tabs>
          <w:tab w:val="num" w:pos="1418"/>
        </w:tabs>
        <w:ind w:left="1418" w:hanging="283"/>
      </w:pPr>
      <w:rPr>
        <w:rFonts w:ascii="Symbol" w:hAnsi="Symbol" w:cs="Symbol" w:hint="default"/>
      </w:rPr>
    </w:lvl>
    <w:lvl w:ilvl="2">
      <w:start w:val="1"/>
      <w:numFmt w:val="bullet"/>
      <w:lvlText w:val=""/>
      <w:lvlJc w:val="left"/>
      <w:pPr>
        <w:tabs>
          <w:tab w:val="num" w:pos="2127"/>
        </w:tabs>
        <w:ind w:left="2127" w:hanging="283"/>
      </w:pPr>
      <w:rPr>
        <w:rFonts w:ascii="Symbol" w:hAnsi="Symbol" w:cs="Symbol" w:hint="default"/>
      </w:rPr>
    </w:lvl>
    <w:lvl w:ilvl="3">
      <w:start w:val="1"/>
      <w:numFmt w:val="bullet"/>
      <w:lvlText w:val=""/>
      <w:lvlJc w:val="left"/>
      <w:pPr>
        <w:tabs>
          <w:tab w:val="num" w:pos="2836"/>
        </w:tabs>
        <w:ind w:left="2836" w:hanging="283"/>
      </w:pPr>
      <w:rPr>
        <w:rFonts w:ascii="Symbol" w:hAnsi="Symbol" w:cs="Symbol" w:hint="default"/>
      </w:rPr>
    </w:lvl>
    <w:lvl w:ilvl="4">
      <w:start w:val="1"/>
      <w:numFmt w:val="bullet"/>
      <w:lvlText w:val=""/>
      <w:lvlJc w:val="left"/>
      <w:pPr>
        <w:tabs>
          <w:tab w:val="num" w:pos="3545"/>
        </w:tabs>
        <w:ind w:left="3545" w:hanging="283"/>
      </w:pPr>
      <w:rPr>
        <w:rFonts w:ascii="Symbol" w:hAnsi="Symbol" w:cs="Symbol" w:hint="default"/>
      </w:rPr>
    </w:lvl>
    <w:lvl w:ilvl="5">
      <w:start w:val="1"/>
      <w:numFmt w:val="bullet"/>
      <w:lvlText w:val=""/>
      <w:lvlJc w:val="left"/>
      <w:pPr>
        <w:tabs>
          <w:tab w:val="num" w:pos="4254"/>
        </w:tabs>
        <w:ind w:left="4254" w:hanging="283"/>
      </w:pPr>
      <w:rPr>
        <w:rFonts w:ascii="Symbol" w:hAnsi="Symbol" w:cs="Symbol" w:hint="default"/>
      </w:rPr>
    </w:lvl>
    <w:lvl w:ilvl="6">
      <w:start w:val="1"/>
      <w:numFmt w:val="bullet"/>
      <w:lvlText w:val=""/>
      <w:lvlJc w:val="left"/>
      <w:pPr>
        <w:tabs>
          <w:tab w:val="num" w:pos="4963"/>
        </w:tabs>
        <w:ind w:left="4963" w:hanging="283"/>
      </w:pPr>
      <w:rPr>
        <w:rFonts w:ascii="Symbol" w:hAnsi="Symbol" w:cs="Symbol" w:hint="default"/>
      </w:rPr>
    </w:lvl>
    <w:lvl w:ilvl="7">
      <w:start w:val="1"/>
      <w:numFmt w:val="bullet"/>
      <w:lvlText w:val=""/>
      <w:lvlJc w:val="left"/>
      <w:pPr>
        <w:tabs>
          <w:tab w:val="num" w:pos="5672"/>
        </w:tabs>
        <w:ind w:left="5672" w:hanging="283"/>
      </w:pPr>
      <w:rPr>
        <w:rFonts w:ascii="Symbol" w:hAnsi="Symbol" w:cs="Symbol" w:hint="default"/>
      </w:rPr>
    </w:lvl>
    <w:lvl w:ilvl="8">
      <w:start w:val="1"/>
      <w:numFmt w:val="bullet"/>
      <w:lvlText w:val=""/>
      <w:lvlJc w:val="left"/>
      <w:pPr>
        <w:tabs>
          <w:tab w:val="num" w:pos="6381"/>
        </w:tabs>
        <w:ind w:left="6381" w:hanging="283"/>
      </w:pPr>
      <w:rPr>
        <w:rFonts w:ascii="Symbol" w:hAnsi="Symbol" w:cs="Symbol" w:hint="default"/>
      </w:rPr>
    </w:lvl>
  </w:abstractNum>
  <w:abstractNum w:abstractNumId="26">
    <w:lvl w:ilvl="0">
      <w:start w:val="1"/>
      <w:numFmt w:val="bullet"/>
      <w:lvlText w:val=""/>
      <w:lvlJc w:val="left"/>
      <w:pPr>
        <w:tabs>
          <w:tab w:val="num" w:pos="709"/>
        </w:tabs>
        <w:ind w:left="709" w:hanging="283"/>
      </w:pPr>
      <w:rPr>
        <w:rFonts w:ascii="Symbol" w:hAnsi="Symbol" w:cs="Symbol" w:hint="default"/>
      </w:rPr>
    </w:lvl>
    <w:lvl w:ilvl="1">
      <w:start w:val="1"/>
      <w:numFmt w:val="bullet"/>
      <w:lvlText w:val=""/>
      <w:lvlJc w:val="left"/>
      <w:pPr>
        <w:tabs>
          <w:tab w:val="num" w:pos="1418"/>
        </w:tabs>
        <w:ind w:left="1418" w:hanging="283"/>
      </w:pPr>
      <w:rPr>
        <w:rFonts w:ascii="Symbol" w:hAnsi="Symbol" w:cs="Symbol" w:hint="default"/>
      </w:rPr>
    </w:lvl>
    <w:lvl w:ilvl="2">
      <w:start w:val="1"/>
      <w:numFmt w:val="bullet"/>
      <w:lvlText w:val=""/>
      <w:lvlJc w:val="left"/>
      <w:pPr>
        <w:tabs>
          <w:tab w:val="num" w:pos="2127"/>
        </w:tabs>
        <w:ind w:left="2127" w:hanging="283"/>
      </w:pPr>
      <w:rPr>
        <w:rFonts w:ascii="Symbol" w:hAnsi="Symbol" w:cs="Symbol" w:hint="default"/>
      </w:rPr>
    </w:lvl>
    <w:lvl w:ilvl="3">
      <w:start w:val="1"/>
      <w:numFmt w:val="bullet"/>
      <w:lvlText w:val=""/>
      <w:lvlJc w:val="left"/>
      <w:pPr>
        <w:tabs>
          <w:tab w:val="num" w:pos="2836"/>
        </w:tabs>
        <w:ind w:left="2836" w:hanging="283"/>
      </w:pPr>
      <w:rPr>
        <w:rFonts w:ascii="Symbol" w:hAnsi="Symbol" w:cs="Symbol" w:hint="default"/>
      </w:rPr>
    </w:lvl>
    <w:lvl w:ilvl="4">
      <w:start w:val="1"/>
      <w:numFmt w:val="bullet"/>
      <w:lvlText w:val=""/>
      <w:lvlJc w:val="left"/>
      <w:pPr>
        <w:tabs>
          <w:tab w:val="num" w:pos="3545"/>
        </w:tabs>
        <w:ind w:left="3545" w:hanging="283"/>
      </w:pPr>
      <w:rPr>
        <w:rFonts w:ascii="Symbol" w:hAnsi="Symbol" w:cs="Symbol" w:hint="default"/>
      </w:rPr>
    </w:lvl>
    <w:lvl w:ilvl="5">
      <w:start w:val="1"/>
      <w:numFmt w:val="bullet"/>
      <w:lvlText w:val=""/>
      <w:lvlJc w:val="left"/>
      <w:pPr>
        <w:tabs>
          <w:tab w:val="num" w:pos="4254"/>
        </w:tabs>
        <w:ind w:left="4254" w:hanging="283"/>
      </w:pPr>
      <w:rPr>
        <w:rFonts w:ascii="Symbol" w:hAnsi="Symbol" w:cs="Symbol" w:hint="default"/>
      </w:rPr>
    </w:lvl>
    <w:lvl w:ilvl="6">
      <w:start w:val="1"/>
      <w:numFmt w:val="bullet"/>
      <w:lvlText w:val=""/>
      <w:lvlJc w:val="left"/>
      <w:pPr>
        <w:tabs>
          <w:tab w:val="num" w:pos="4963"/>
        </w:tabs>
        <w:ind w:left="4963" w:hanging="283"/>
      </w:pPr>
      <w:rPr>
        <w:rFonts w:ascii="Symbol" w:hAnsi="Symbol" w:cs="Symbol" w:hint="default"/>
      </w:rPr>
    </w:lvl>
    <w:lvl w:ilvl="7">
      <w:start w:val="1"/>
      <w:numFmt w:val="bullet"/>
      <w:lvlText w:val=""/>
      <w:lvlJc w:val="left"/>
      <w:pPr>
        <w:tabs>
          <w:tab w:val="num" w:pos="5672"/>
        </w:tabs>
        <w:ind w:left="5672" w:hanging="283"/>
      </w:pPr>
      <w:rPr>
        <w:rFonts w:ascii="Symbol" w:hAnsi="Symbol" w:cs="Symbol" w:hint="default"/>
      </w:rPr>
    </w:lvl>
    <w:lvl w:ilvl="8">
      <w:start w:val="1"/>
      <w:numFmt w:val="bullet"/>
      <w:lvlText w:val=""/>
      <w:lvlJc w:val="left"/>
      <w:pPr>
        <w:tabs>
          <w:tab w:val="num" w:pos="6381"/>
        </w:tabs>
        <w:ind w:left="6381" w:hanging="283"/>
      </w:pPr>
      <w:rPr>
        <w:rFonts w:ascii="Symbol" w:hAnsi="Symbol" w:cs="Symbol" w:hint="default"/>
      </w:rPr>
    </w:lvl>
  </w:abstractNum>
  <w:abstractNum w:abstractNumId="27">
    <w:lvl w:ilvl="0">
      <w:start w:val="1"/>
      <w:numFmt w:val="bullet"/>
      <w:lvlText w:val=""/>
      <w:lvlJc w:val="left"/>
      <w:pPr>
        <w:tabs>
          <w:tab w:val="num" w:pos="709"/>
        </w:tabs>
        <w:ind w:left="709" w:hanging="283"/>
      </w:pPr>
      <w:rPr>
        <w:rFonts w:ascii="Symbol" w:hAnsi="Symbol" w:cs="Symbol" w:hint="default"/>
      </w:rPr>
    </w:lvl>
    <w:lvl w:ilvl="1">
      <w:start w:val="1"/>
      <w:numFmt w:val="bullet"/>
      <w:lvlText w:val=""/>
      <w:lvlJc w:val="left"/>
      <w:pPr>
        <w:tabs>
          <w:tab w:val="num" w:pos="1418"/>
        </w:tabs>
        <w:ind w:left="1418" w:hanging="283"/>
      </w:pPr>
      <w:rPr>
        <w:rFonts w:ascii="Symbol" w:hAnsi="Symbol" w:cs="Symbol" w:hint="default"/>
      </w:rPr>
    </w:lvl>
    <w:lvl w:ilvl="2">
      <w:start w:val="1"/>
      <w:numFmt w:val="bullet"/>
      <w:lvlText w:val=""/>
      <w:lvlJc w:val="left"/>
      <w:pPr>
        <w:tabs>
          <w:tab w:val="num" w:pos="2127"/>
        </w:tabs>
        <w:ind w:left="2127" w:hanging="283"/>
      </w:pPr>
      <w:rPr>
        <w:rFonts w:ascii="Symbol" w:hAnsi="Symbol" w:cs="Symbol" w:hint="default"/>
      </w:rPr>
    </w:lvl>
    <w:lvl w:ilvl="3">
      <w:start w:val="1"/>
      <w:numFmt w:val="bullet"/>
      <w:lvlText w:val=""/>
      <w:lvlJc w:val="left"/>
      <w:pPr>
        <w:tabs>
          <w:tab w:val="num" w:pos="2836"/>
        </w:tabs>
        <w:ind w:left="2836" w:hanging="283"/>
      </w:pPr>
      <w:rPr>
        <w:rFonts w:ascii="Symbol" w:hAnsi="Symbol" w:cs="Symbol" w:hint="default"/>
      </w:rPr>
    </w:lvl>
    <w:lvl w:ilvl="4">
      <w:start w:val="1"/>
      <w:numFmt w:val="bullet"/>
      <w:lvlText w:val=""/>
      <w:lvlJc w:val="left"/>
      <w:pPr>
        <w:tabs>
          <w:tab w:val="num" w:pos="3545"/>
        </w:tabs>
        <w:ind w:left="3545" w:hanging="283"/>
      </w:pPr>
      <w:rPr>
        <w:rFonts w:ascii="Symbol" w:hAnsi="Symbol" w:cs="Symbol" w:hint="default"/>
      </w:rPr>
    </w:lvl>
    <w:lvl w:ilvl="5">
      <w:start w:val="1"/>
      <w:numFmt w:val="bullet"/>
      <w:lvlText w:val=""/>
      <w:lvlJc w:val="left"/>
      <w:pPr>
        <w:tabs>
          <w:tab w:val="num" w:pos="4254"/>
        </w:tabs>
        <w:ind w:left="4254" w:hanging="283"/>
      </w:pPr>
      <w:rPr>
        <w:rFonts w:ascii="Symbol" w:hAnsi="Symbol" w:cs="Symbol" w:hint="default"/>
      </w:rPr>
    </w:lvl>
    <w:lvl w:ilvl="6">
      <w:start w:val="1"/>
      <w:numFmt w:val="bullet"/>
      <w:lvlText w:val=""/>
      <w:lvlJc w:val="left"/>
      <w:pPr>
        <w:tabs>
          <w:tab w:val="num" w:pos="4963"/>
        </w:tabs>
        <w:ind w:left="4963" w:hanging="283"/>
      </w:pPr>
      <w:rPr>
        <w:rFonts w:ascii="Symbol" w:hAnsi="Symbol" w:cs="Symbol" w:hint="default"/>
      </w:rPr>
    </w:lvl>
    <w:lvl w:ilvl="7">
      <w:start w:val="1"/>
      <w:numFmt w:val="bullet"/>
      <w:lvlText w:val=""/>
      <w:lvlJc w:val="left"/>
      <w:pPr>
        <w:tabs>
          <w:tab w:val="num" w:pos="5672"/>
        </w:tabs>
        <w:ind w:left="5672" w:hanging="283"/>
      </w:pPr>
      <w:rPr>
        <w:rFonts w:ascii="Symbol" w:hAnsi="Symbol" w:cs="Symbol" w:hint="default"/>
      </w:rPr>
    </w:lvl>
    <w:lvl w:ilvl="8">
      <w:start w:val="1"/>
      <w:numFmt w:val="bullet"/>
      <w:lvlText w:val=""/>
      <w:lvlJc w:val="left"/>
      <w:pPr>
        <w:tabs>
          <w:tab w:val="num" w:pos="6381"/>
        </w:tabs>
        <w:ind w:left="6381" w:hanging="283"/>
      </w:pPr>
      <w:rPr>
        <w:rFonts w:ascii="Symbol" w:hAnsi="Symbol" w:cs="Symbol" w:hint="default"/>
      </w:rPr>
    </w:lvl>
  </w:abstractNum>
  <w:abstractNum w:abstractNumId="28">
    <w:lvl w:ilvl="0">
      <w:start w:val="1"/>
      <w:numFmt w:val="bullet"/>
      <w:lvlText w:val=""/>
      <w:lvlJc w:val="left"/>
      <w:pPr>
        <w:tabs>
          <w:tab w:val="num" w:pos="709"/>
        </w:tabs>
        <w:ind w:left="709" w:hanging="283"/>
      </w:pPr>
      <w:rPr>
        <w:rFonts w:ascii="Symbol" w:hAnsi="Symbol" w:cs="Symbol" w:hint="default"/>
      </w:rPr>
    </w:lvl>
    <w:lvl w:ilvl="1">
      <w:start w:val="1"/>
      <w:numFmt w:val="bullet"/>
      <w:lvlText w:val=""/>
      <w:lvlJc w:val="left"/>
      <w:pPr>
        <w:tabs>
          <w:tab w:val="num" w:pos="1418"/>
        </w:tabs>
        <w:ind w:left="1418" w:hanging="283"/>
      </w:pPr>
      <w:rPr>
        <w:rFonts w:ascii="Symbol" w:hAnsi="Symbol" w:cs="Symbol" w:hint="default"/>
      </w:rPr>
    </w:lvl>
    <w:lvl w:ilvl="2">
      <w:start w:val="1"/>
      <w:numFmt w:val="bullet"/>
      <w:lvlText w:val=""/>
      <w:lvlJc w:val="left"/>
      <w:pPr>
        <w:tabs>
          <w:tab w:val="num" w:pos="2127"/>
        </w:tabs>
        <w:ind w:left="2127" w:hanging="283"/>
      </w:pPr>
      <w:rPr>
        <w:rFonts w:ascii="Symbol" w:hAnsi="Symbol" w:cs="Symbol" w:hint="default"/>
      </w:rPr>
    </w:lvl>
    <w:lvl w:ilvl="3">
      <w:start w:val="1"/>
      <w:numFmt w:val="bullet"/>
      <w:lvlText w:val=""/>
      <w:lvlJc w:val="left"/>
      <w:pPr>
        <w:tabs>
          <w:tab w:val="num" w:pos="2836"/>
        </w:tabs>
        <w:ind w:left="2836" w:hanging="283"/>
      </w:pPr>
      <w:rPr>
        <w:rFonts w:ascii="Symbol" w:hAnsi="Symbol" w:cs="Symbol" w:hint="default"/>
      </w:rPr>
    </w:lvl>
    <w:lvl w:ilvl="4">
      <w:start w:val="1"/>
      <w:numFmt w:val="bullet"/>
      <w:lvlText w:val=""/>
      <w:lvlJc w:val="left"/>
      <w:pPr>
        <w:tabs>
          <w:tab w:val="num" w:pos="3545"/>
        </w:tabs>
        <w:ind w:left="3545" w:hanging="283"/>
      </w:pPr>
      <w:rPr>
        <w:rFonts w:ascii="Symbol" w:hAnsi="Symbol" w:cs="Symbol" w:hint="default"/>
      </w:rPr>
    </w:lvl>
    <w:lvl w:ilvl="5">
      <w:start w:val="1"/>
      <w:numFmt w:val="bullet"/>
      <w:lvlText w:val=""/>
      <w:lvlJc w:val="left"/>
      <w:pPr>
        <w:tabs>
          <w:tab w:val="num" w:pos="4254"/>
        </w:tabs>
        <w:ind w:left="4254" w:hanging="283"/>
      </w:pPr>
      <w:rPr>
        <w:rFonts w:ascii="Symbol" w:hAnsi="Symbol" w:cs="Symbol" w:hint="default"/>
      </w:rPr>
    </w:lvl>
    <w:lvl w:ilvl="6">
      <w:start w:val="1"/>
      <w:numFmt w:val="bullet"/>
      <w:lvlText w:val=""/>
      <w:lvlJc w:val="left"/>
      <w:pPr>
        <w:tabs>
          <w:tab w:val="num" w:pos="4963"/>
        </w:tabs>
        <w:ind w:left="4963" w:hanging="283"/>
      </w:pPr>
      <w:rPr>
        <w:rFonts w:ascii="Symbol" w:hAnsi="Symbol" w:cs="Symbol" w:hint="default"/>
      </w:rPr>
    </w:lvl>
    <w:lvl w:ilvl="7">
      <w:start w:val="1"/>
      <w:numFmt w:val="bullet"/>
      <w:lvlText w:val=""/>
      <w:lvlJc w:val="left"/>
      <w:pPr>
        <w:tabs>
          <w:tab w:val="num" w:pos="5672"/>
        </w:tabs>
        <w:ind w:left="5672" w:hanging="283"/>
      </w:pPr>
      <w:rPr>
        <w:rFonts w:ascii="Symbol" w:hAnsi="Symbol" w:cs="Symbol" w:hint="default"/>
      </w:rPr>
    </w:lvl>
    <w:lvl w:ilvl="8">
      <w:start w:val="1"/>
      <w:numFmt w:val="bullet"/>
      <w:lvlText w:val=""/>
      <w:lvlJc w:val="left"/>
      <w:pPr>
        <w:tabs>
          <w:tab w:val="num" w:pos="6381"/>
        </w:tabs>
        <w:ind w:left="6381" w:hanging="283"/>
      </w:pPr>
      <w:rPr>
        <w:rFonts w:ascii="Symbol" w:hAnsi="Symbol" w:cs="Symbol" w:hint="default"/>
      </w:rPr>
    </w:lvl>
  </w:abstractNum>
  <w:abstractNum w:abstractNumId="29">
    <w:lvl w:ilvl="0">
      <w:start w:val="1"/>
      <w:numFmt w:val="bullet"/>
      <w:lvlText w:val=""/>
      <w:lvlJc w:val="left"/>
      <w:pPr>
        <w:tabs>
          <w:tab w:val="num" w:pos="709"/>
        </w:tabs>
        <w:ind w:left="709" w:hanging="283"/>
      </w:pPr>
      <w:rPr>
        <w:rFonts w:ascii="Symbol" w:hAnsi="Symbol" w:cs="Symbol" w:hint="default"/>
      </w:rPr>
    </w:lvl>
    <w:lvl w:ilvl="1">
      <w:start w:val="1"/>
      <w:numFmt w:val="bullet"/>
      <w:lvlText w:val=""/>
      <w:lvlJc w:val="left"/>
      <w:pPr>
        <w:tabs>
          <w:tab w:val="num" w:pos="1418"/>
        </w:tabs>
        <w:ind w:left="1418" w:hanging="283"/>
      </w:pPr>
      <w:rPr>
        <w:rFonts w:ascii="Symbol" w:hAnsi="Symbol" w:cs="Symbol" w:hint="default"/>
      </w:rPr>
    </w:lvl>
    <w:lvl w:ilvl="2">
      <w:start w:val="1"/>
      <w:numFmt w:val="bullet"/>
      <w:lvlText w:val=""/>
      <w:lvlJc w:val="left"/>
      <w:pPr>
        <w:tabs>
          <w:tab w:val="num" w:pos="2127"/>
        </w:tabs>
        <w:ind w:left="2127" w:hanging="283"/>
      </w:pPr>
      <w:rPr>
        <w:rFonts w:ascii="Symbol" w:hAnsi="Symbol" w:cs="Symbol" w:hint="default"/>
      </w:rPr>
    </w:lvl>
    <w:lvl w:ilvl="3">
      <w:start w:val="1"/>
      <w:numFmt w:val="bullet"/>
      <w:lvlText w:val=""/>
      <w:lvlJc w:val="left"/>
      <w:pPr>
        <w:tabs>
          <w:tab w:val="num" w:pos="2836"/>
        </w:tabs>
        <w:ind w:left="2836" w:hanging="283"/>
      </w:pPr>
      <w:rPr>
        <w:rFonts w:ascii="Symbol" w:hAnsi="Symbol" w:cs="Symbol" w:hint="default"/>
      </w:rPr>
    </w:lvl>
    <w:lvl w:ilvl="4">
      <w:start w:val="1"/>
      <w:numFmt w:val="bullet"/>
      <w:lvlText w:val=""/>
      <w:lvlJc w:val="left"/>
      <w:pPr>
        <w:tabs>
          <w:tab w:val="num" w:pos="3545"/>
        </w:tabs>
        <w:ind w:left="3545" w:hanging="283"/>
      </w:pPr>
      <w:rPr>
        <w:rFonts w:ascii="Symbol" w:hAnsi="Symbol" w:cs="Symbol" w:hint="default"/>
      </w:rPr>
    </w:lvl>
    <w:lvl w:ilvl="5">
      <w:start w:val="1"/>
      <w:numFmt w:val="bullet"/>
      <w:lvlText w:val=""/>
      <w:lvlJc w:val="left"/>
      <w:pPr>
        <w:tabs>
          <w:tab w:val="num" w:pos="4254"/>
        </w:tabs>
        <w:ind w:left="4254" w:hanging="283"/>
      </w:pPr>
      <w:rPr>
        <w:rFonts w:ascii="Symbol" w:hAnsi="Symbol" w:cs="Symbol" w:hint="default"/>
      </w:rPr>
    </w:lvl>
    <w:lvl w:ilvl="6">
      <w:start w:val="1"/>
      <w:numFmt w:val="bullet"/>
      <w:lvlText w:val=""/>
      <w:lvlJc w:val="left"/>
      <w:pPr>
        <w:tabs>
          <w:tab w:val="num" w:pos="4963"/>
        </w:tabs>
        <w:ind w:left="4963" w:hanging="283"/>
      </w:pPr>
      <w:rPr>
        <w:rFonts w:ascii="Symbol" w:hAnsi="Symbol" w:cs="Symbol" w:hint="default"/>
      </w:rPr>
    </w:lvl>
    <w:lvl w:ilvl="7">
      <w:start w:val="1"/>
      <w:numFmt w:val="bullet"/>
      <w:lvlText w:val=""/>
      <w:lvlJc w:val="left"/>
      <w:pPr>
        <w:tabs>
          <w:tab w:val="num" w:pos="5672"/>
        </w:tabs>
        <w:ind w:left="5672" w:hanging="283"/>
      </w:pPr>
      <w:rPr>
        <w:rFonts w:ascii="Symbol" w:hAnsi="Symbol" w:cs="Symbol" w:hint="default"/>
      </w:rPr>
    </w:lvl>
    <w:lvl w:ilvl="8">
      <w:start w:val="1"/>
      <w:numFmt w:val="bullet"/>
      <w:lvlText w:val=""/>
      <w:lvlJc w:val="left"/>
      <w:pPr>
        <w:tabs>
          <w:tab w:val="num" w:pos="6381"/>
        </w:tabs>
        <w:ind w:left="6381" w:hanging="283"/>
      </w:pPr>
      <w:rPr>
        <w:rFonts w:ascii="Symbol" w:hAnsi="Symbol" w:cs="Symbol" w:hint="default"/>
      </w:rPr>
    </w:lvl>
  </w:abstractNum>
  <w:abstractNum w:abstractNumId="30">
    <w:lvl w:ilvl="0">
      <w:start w:val="1"/>
      <w:numFmt w:val="bullet"/>
      <w:lvlText w:val=""/>
      <w:lvlJc w:val="left"/>
      <w:pPr>
        <w:tabs>
          <w:tab w:val="num" w:pos="709"/>
        </w:tabs>
        <w:ind w:left="709" w:hanging="283"/>
      </w:pPr>
      <w:rPr>
        <w:rFonts w:ascii="Symbol" w:hAnsi="Symbol" w:cs="Symbol" w:hint="default"/>
      </w:rPr>
    </w:lvl>
    <w:lvl w:ilvl="1">
      <w:start w:val="1"/>
      <w:numFmt w:val="bullet"/>
      <w:lvlText w:val=""/>
      <w:lvlJc w:val="left"/>
      <w:pPr>
        <w:tabs>
          <w:tab w:val="num" w:pos="1418"/>
        </w:tabs>
        <w:ind w:left="1418" w:hanging="283"/>
      </w:pPr>
      <w:rPr>
        <w:rFonts w:ascii="Symbol" w:hAnsi="Symbol" w:cs="Symbol" w:hint="default"/>
      </w:rPr>
    </w:lvl>
    <w:lvl w:ilvl="2">
      <w:start w:val="1"/>
      <w:numFmt w:val="bullet"/>
      <w:lvlText w:val=""/>
      <w:lvlJc w:val="left"/>
      <w:pPr>
        <w:tabs>
          <w:tab w:val="num" w:pos="2127"/>
        </w:tabs>
        <w:ind w:left="2127" w:hanging="283"/>
      </w:pPr>
      <w:rPr>
        <w:rFonts w:ascii="Symbol" w:hAnsi="Symbol" w:cs="Symbol" w:hint="default"/>
      </w:rPr>
    </w:lvl>
    <w:lvl w:ilvl="3">
      <w:start w:val="1"/>
      <w:numFmt w:val="bullet"/>
      <w:lvlText w:val=""/>
      <w:lvlJc w:val="left"/>
      <w:pPr>
        <w:tabs>
          <w:tab w:val="num" w:pos="2836"/>
        </w:tabs>
        <w:ind w:left="2836" w:hanging="283"/>
      </w:pPr>
      <w:rPr>
        <w:rFonts w:ascii="Symbol" w:hAnsi="Symbol" w:cs="Symbol" w:hint="default"/>
      </w:rPr>
    </w:lvl>
    <w:lvl w:ilvl="4">
      <w:start w:val="1"/>
      <w:numFmt w:val="bullet"/>
      <w:lvlText w:val=""/>
      <w:lvlJc w:val="left"/>
      <w:pPr>
        <w:tabs>
          <w:tab w:val="num" w:pos="3545"/>
        </w:tabs>
        <w:ind w:left="3545" w:hanging="283"/>
      </w:pPr>
      <w:rPr>
        <w:rFonts w:ascii="Symbol" w:hAnsi="Symbol" w:cs="Symbol" w:hint="default"/>
      </w:rPr>
    </w:lvl>
    <w:lvl w:ilvl="5">
      <w:start w:val="1"/>
      <w:numFmt w:val="bullet"/>
      <w:lvlText w:val=""/>
      <w:lvlJc w:val="left"/>
      <w:pPr>
        <w:tabs>
          <w:tab w:val="num" w:pos="4254"/>
        </w:tabs>
        <w:ind w:left="4254" w:hanging="283"/>
      </w:pPr>
      <w:rPr>
        <w:rFonts w:ascii="Symbol" w:hAnsi="Symbol" w:cs="Symbol" w:hint="default"/>
      </w:rPr>
    </w:lvl>
    <w:lvl w:ilvl="6">
      <w:start w:val="1"/>
      <w:numFmt w:val="bullet"/>
      <w:lvlText w:val=""/>
      <w:lvlJc w:val="left"/>
      <w:pPr>
        <w:tabs>
          <w:tab w:val="num" w:pos="4963"/>
        </w:tabs>
        <w:ind w:left="4963" w:hanging="283"/>
      </w:pPr>
      <w:rPr>
        <w:rFonts w:ascii="Symbol" w:hAnsi="Symbol" w:cs="Symbol" w:hint="default"/>
      </w:rPr>
    </w:lvl>
    <w:lvl w:ilvl="7">
      <w:start w:val="1"/>
      <w:numFmt w:val="bullet"/>
      <w:lvlText w:val=""/>
      <w:lvlJc w:val="left"/>
      <w:pPr>
        <w:tabs>
          <w:tab w:val="num" w:pos="5672"/>
        </w:tabs>
        <w:ind w:left="5672" w:hanging="283"/>
      </w:pPr>
      <w:rPr>
        <w:rFonts w:ascii="Symbol" w:hAnsi="Symbol" w:cs="Symbol" w:hint="default"/>
      </w:rPr>
    </w:lvl>
    <w:lvl w:ilvl="8">
      <w:start w:val="1"/>
      <w:numFmt w:val="bullet"/>
      <w:lvlText w:val=""/>
      <w:lvlJc w:val="left"/>
      <w:pPr>
        <w:tabs>
          <w:tab w:val="num" w:pos="6381"/>
        </w:tabs>
        <w:ind w:left="6381" w:hanging="283"/>
      </w:pPr>
      <w:rPr>
        <w:rFonts w:ascii="Symbol" w:hAnsi="Symbol" w:cs="Symbol" w:hint="default"/>
      </w:rPr>
    </w:lvl>
  </w:abstractNum>
  <w:abstractNum w:abstractNumId="31">
    <w:lvl w:ilvl="0">
      <w:start w:val="1"/>
      <w:numFmt w:val="none"/>
      <w:suff w:val="nothing"/>
      <w:lvlText w:val=""/>
      <w:lvlJc w:val="left"/>
      <w:pPr>
        <w:tabs>
          <w:tab w:val="num" w:pos="0"/>
        </w:tabs>
        <w:ind w:left="0" w:hanging="0"/>
      </w:pPr>
    </w:lvl>
    <w:lvl w:ilvl="1">
      <w:start w:val="1"/>
      <w:numFmt w:val="none"/>
      <w:suff w:val="nothing"/>
      <w:lvlText w:val=""/>
      <w:lvlJc w:val="left"/>
      <w:pPr>
        <w:tabs>
          <w:tab w:val="num" w:pos="0"/>
        </w:tabs>
        <w:ind w:left="0" w:hanging="0"/>
      </w:pPr>
    </w:lvl>
    <w:lvl w:ilvl="2">
      <w:start w:val="1"/>
      <w:numFmt w:val="none"/>
      <w:suff w:val="nothing"/>
      <w:lvlText w:val=""/>
      <w:lvlJc w:val="left"/>
      <w:pPr>
        <w:tabs>
          <w:tab w:val="num" w:pos="0"/>
        </w:tabs>
        <w:ind w:left="0" w:hanging="0"/>
      </w:pPr>
    </w:lvl>
    <w:lvl w:ilvl="3">
      <w:start w:val="1"/>
      <w:numFmt w:val="none"/>
      <w:suff w:val="nothing"/>
      <w:lvlText w:val=""/>
      <w:lvlJc w:val="left"/>
      <w:pPr>
        <w:tabs>
          <w:tab w:val="num" w:pos="0"/>
        </w:tabs>
        <w:ind w:left="0" w:hanging="0"/>
      </w:pPr>
    </w:lvl>
    <w:lvl w:ilvl="4">
      <w:start w:val="1"/>
      <w:numFmt w:val="none"/>
      <w:suff w:val="nothing"/>
      <w:lvlText w:val=""/>
      <w:lvlJc w:val="left"/>
      <w:pPr>
        <w:tabs>
          <w:tab w:val="num" w:pos="0"/>
        </w:tabs>
        <w:ind w:left="0" w:hanging="0"/>
      </w:pPr>
    </w:lvl>
    <w:lvl w:ilvl="5">
      <w:start w:val="1"/>
      <w:numFmt w:val="none"/>
      <w:suff w:val="nothing"/>
      <w:lvlText w:val=""/>
      <w:lvlJc w:val="left"/>
      <w:pPr>
        <w:tabs>
          <w:tab w:val="num" w:pos="0"/>
        </w:tabs>
        <w:ind w:left="0" w:hanging="0"/>
      </w:pPr>
    </w:lvl>
    <w:lvl w:ilvl="6">
      <w:start w:val="1"/>
      <w:numFmt w:val="none"/>
      <w:suff w:val="nothing"/>
      <w:lvlText w:val=""/>
      <w:lvlJc w:val="left"/>
      <w:pPr>
        <w:tabs>
          <w:tab w:val="num" w:pos="0"/>
        </w:tabs>
        <w:ind w:left="0" w:hanging="0"/>
      </w:pPr>
    </w:lvl>
    <w:lvl w:ilvl="7">
      <w:start w:val="1"/>
      <w:numFmt w:val="none"/>
      <w:suff w:val="nothing"/>
      <w:lvlText w:val=""/>
      <w:lvlJc w:val="left"/>
      <w:pPr>
        <w:tabs>
          <w:tab w:val="num" w:pos="0"/>
        </w:tabs>
        <w:ind w:left="0" w:hanging="0"/>
      </w:pPr>
    </w:lvl>
    <w:lvl w:ilvl="8">
      <w:start w:val="1"/>
      <w:numFmt w:val="none"/>
      <w:suff w:val="nothing"/>
      <w:lvlText w:val=""/>
      <w:lvlJc w:val="left"/>
      <w:pPr>
        <w:tabs>
          <w:tab w:val="num" w:pos="0"/>
        </w:tabs>
        <w:ind w:left="0" w:hanging="0"/>
      </w:p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12"/>
  </w:num>
  <w:num w:numId="13">
    <w:abstractNumId w:val="13"/>
  </w:num>
  <w:num w:numId="14">
    <w:abstractNumId w:val="14"/>
  </w:num>
  <w:num w:numId="15">
    <w:abstractNumId w:val="15"/>
  </w:num>
  <w:num w:numId="16">
    <w:abstractNumId w:val="16"/>
  </w:num>
  <w:num w:numId="17">
    <w:abstractNumId w:val="17"/>
  </w:num>
  <w:num w:numId="18">
    <w:abstractNumId w:val="18"/>
  </w:num>
  <w:num w:numId="19">
    <w:abstractNumId w:val="19"/>
  </w:num>
  <w:num w:numId="20">
    <w:abstractNumId w:val="20"/>
  </w:num>
  <w:num w:numId="21">
    <w:abstractNumId w:val="21"/>
  </w:num>
  <w:num w:numId="22">
    <w:abstractNumId w:val="22"/>
  </w:num>
  <w:num w:numId="23">
    <w:abstractNumId w:val="23"/>
  </w:num>
  <w:num w:numId="24">
    <w:abstractNumId w:val="24"/>
  </w:num>
  <w:num w:numId="25">
    <w:abstractNumId w:val="25"/>
  </w:num>
  <w:num w:numId="26">
    <w:abstractNumId w:val="26"/>
  </w:num>
  <w:num w:numId="27">
    <w:abstractNumId w:val="27"/>
  </w:num>
  <w:num w:numId="28">
    <w:abstractNumId w:val="28"/>
  </w:num>
  <w:num w:numId="29">
    <w:abstractNumId w:val="29"/>
  </w:num>
  <w:num w:numId="30">
    <w:abstractNumId w:val="30"/>
  </w:num>
  <w:num w:numId="31">
    <w:abstractNumId w:val="31"/>
  </w:num>
</w:numbering>
</file>

<file path=word/settings.xml><?xml version="1.0" encoding="utf-8"?>
<w:settings xmlns:w="http://schemas.openxmlformats.org/wordprocessingml/2006/main">
  <w:zoom w:percent="71"/>
  <w:defaultTabStop w:val="720"/>
  <w:autoHyphenation w:val="true"/>
  <w:compat>
    <w:compatSetting w:name="compatibilityMode" w:uri="http://schemas.microsoft.com/office/word" w:val="12"/>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themeFontLang w:val="en-US" w:eastAsia="ja-JP" w:bidi=""/>
</w:settings>
</file>

<file path=word/styles.xml><?xml version="1.0" encoding="utf-8"?>
<w:styles xmlns:w="http://schemas.openxmlformats.org/wordprocessingml/2006/main" xmlns:w14="http://schemas.microsoft.com/office/word/2010/wordml" xmlns:mc="http://schemas.openxmlformats.org/markup-compatibility/2006" mc:Ignorable="w14">
  <w:docDefaults>
    <w:rPrDefault>
      <w:rPr>
        <w:rFonts w:ascii="Cambria" w:hAnsi="Cambria" w:eastAsia="" w:cs="" w:asciiTheme="minorHAnsi" w:cstheme="minorBidi" w:eastAsiaTheme="minorEastAsia" w:hAnsiTheme="minorHAnsi"/>
        <w:sz w:val="22"/>
        <w:szCs w:val="22"/>
        <w:lang w:val="en-US" w:eastAsia="en-US" w:bidi="ar-SA"/>
      </w:rPr>
    </w:rPrDefault>
    <w:pPrDefault>
      <w:pPr>
        <w:suppressAutoHyphens w:val="true"/>
      </w:pPr>
    </w:pPrDefault>
  </w:docDefaults>
  <w:latentStyles w:defLockedState="0" w:defUIPriority="99" w:defSemiHidden="1" w:defUnhideWhenUsed="1" w:defQFormat="0" w:count="276">
    <w:lsdException w:name="Normal" w:uiPriority="0" w:semiHidden="0" w:unhideWhenUsed="0" w:qFormat="1"/>
    <w:lsdException w:name="heading 1" w:uiPriority="9" w:semiHidden="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uiPriority="10" w:semiHidden="0" w:unhideWhenUsed="0" w:qFormat="1"/>
    <w:lsdException w:name="Default Paragraph Font" w:uiPriority="1"/>
    <w:lsdException w:name="Subtitle" w:uiPriority="11" w:semiHidden="0" w:unhideWhenUsed="0" w:qFormat="1"/>
    <w:lsdException w:name="Strong" w:uiPriority="22" w:semiHidden="0" w:unhideWhenUsed="0" w:qFormat="1"/>
    <w:lsdException w:name="Emphasis" w:uiPriority="20" w:semiHidden="0" w:unhideWhenUsed="0" w:qFormat="1"/>
    <w:lsdException w:name="Table Grid" w:uiPriority="59" w:semiHidden="0" w:unhideWhenUsed="0"/>
    <w:lsdException w:name="Placeholder Text" w:unhideWhenUsed="0"/>
    <w:lsdException w:name="No Spacing" w:uiPriority="1" w:semiHidden="0" w:unhideWhenUsed="0" w:qFormat="1"/>
    <w:lsdException w:name="Light Shading" w:uiPriority="60" w:semiHidden="0" w:unhideWhenUsed="0"/>
    <w:lsdException w:name="Light List" w:uiPriority="61" w:semiHidden="0" w:unhideWhenUsed="0"/>
    <w:lsdException w:name="Light Grid" w:uiPriority="62" w:semiHidden="0" w:unhideWhenUsed="0"/>
    <w:lsdException w:name="Medium Shading 1" w:uiPriority="63" w:semiHidden="0" w:unhideWhenUsed="0"/>
    <w:lsdException w:name="Medium Shading 2" w:uiPriority="64" w:semiHidden="0" w:unhideWhenUsed="0"/>
    <w:lsdException w:name="Medium List 1" w:uiPriority="65" w:semiHidden="0" w:unhideWhenUsed="0"/>
    <w:lsdException w:name="Medium List 2" w:uiPriority="66" w:semiHidden="0" w:unhideWhenUsed="0"/>
    <w:lsdException w:name="Medium Grid 1" w:uiPriority="67" w:semiHidden="0" w:unhideWhenUsed="0"/>
    <w:lsdException w:name="Medium Grid 2" w:uiPriority="68" w:semiHidden="0" w:unhideWhenUsed="0"/>
    <w:lsdException w:name="Medium Grid 3" w:uiPriority="69" w:semiHidden="0" w:unhideWhenUsed="0"/>
    <w:lsdException w:name="Dark List" w:uiPriority="70" w:semiHidden="0" w:unhideWhenUsed="0"/>
    <w:lsdException w:name="Colorful Shading" w:uiPriority="71" w:semiHidden="0" w:unhideWhenUsed="0"/>
    <w:lsdException w:name="Colorful List" w:uiPriority="72" w:semiHidden="0" w:unhideWhenUsed="0"/>
    <w:lsdException w:name="Colorful Grid" w:uiPriority="73" w:semiHidden="0" w:unhideWhenUsed="0"/>
    <w:lsdException w:name="Light Shading Accent 1" w:uiPriority="60" w:semiHidden="0" w:unhideWhenUsed="0"/>
    <w:lsdException w:name="Light List Accent 1" w:uiPriority="61" w:semiHidden="0" w:unhideWhenUsed="0"/>
    <w:lsdException w:name="Light Grid Accent 1" w:uiPriority="62" w:semiHidden="0" w:unhideWhenUsed="0"/>
    <w:lsdException w:name="Medium Shading 1 Accent 1" w:uiPriority="63" w:semiHidden="0" w:unhideWhenUsed="0"/>
    <w:lsdException w:name="Medium Shading 2 Accent 1" w:uiPriority="64" w:semiHidden="0" w:unhideWhenUsed="0"/>
    <w:lsdException w:name="Medium List 1 Accent 1" w:uiPriority="65" w:semiHidden="0" w:unhideWhenUsed="0"/>
    <w:lsdException w:name="Revision" w:unhideWhenUsed="0"/>
    <w:lsdException w:name="List Paragraph" w:uiPriority="34" w:semiHidden="0" w:unhideWhenUsed="0" w:qFormat="1"/>
    <w:lsdException w:name="Quote" w:uiPriority="29" w:semiHidden="0" w:unhideWhenUsed="0" w:qFormat="1"/>
    <w:lsdException w:name="Intense Quote" w:uiPriority="30" w:semiHidden="0" w:unhideWhenUsed="0" w:qFormat="1"/>
    <w:lsdException w:name="Medium List 2 Accent 1" w:uiPriority="66" w:semiHidden="0" w:unhideWhenUsed="0"/>
    <w:lsdException w:name="Medium Grid 1 Accent 1" w:uiPriority="67" w:semiHidden="0" w:unhideWhenUsed="0"/>
    <w:lsdException w:name="Medium Grid 2 Accent 1" w:uiPriority="68" w:semiHidden="0" w:unhideWhenUsed="0"/>
    <w:lsdException w:name="Medium Grid 3 Accent 1" w:uiPriority="69" w:semiHidden="0" w:unhideWhenUsed="0"/>
    <w:lsdException w:name="Dark List Accent 1" w:uiPriority="70" w:semiHidden="0" w:unhideWhenUsed="0"/>
    <w:lsdException w:name="Colorful Shading Accent 1" w:uiPriority="71" w:semiHidden="0" w:unhideWhenUsed="0"/>
    <w:lsdException w:name="Colorful List Accent 1" w:uiPriority="72" w:semiHidden="0" w:unhideWhenUsed="0"/>
    <w:lsdException w:name="Colorful Grid Accent 1" w:uiPriority="73" w:semiHidden="0" w:unhideWhenUsed="0"/>
    <w:lsdException w:name="Light Shading Accent 2" w:uiPriority="60" w:semiHidden="0" w:unhideWhenUsed="0"/>
    <w:lsdException w:name="Light List Accent 2" w:uiPriority="61" w:semiHidden="0" w:unhideWhenUsed="0"/>
    <w:lsdException w:name="Light Grid Accent 2" w:uiPriority="62" w:semiHidden="0" w:unhideWhenUsed="0"/>
    <w:lsdException w:name="Medium Shading 1 Accent 2" w:uiPriority="63" w:semiHidden="0" w:unhideWhenUsed="0"/>
    <w:lsdException w:name="Medium Shading 2 Accent 2" w:uiPriority="64" w:semiHidden="0" w:unhideWhenUsed="0"/>
    <w:lsdException w:name="Medium List 1 Accent 2" w:uiPriority="65" w:semiHidden="0" w:unhideWhenUsed="0"/>
    <w:lsdException w:name="Medium List 2 Accent 2" w:uiPriority="66" w:semiHidden="0" w:unhideWhenUsed="0"/>
    <w:lsdException w:name="Medium Grid 1 Accent 2" w:uiPriority="67" w:semiHidden="0" w:unhideWhenUsed="0"/>
    <w:lsdException w:name="Medium Grid 2 Accent 2" w:uiPriority="68" w:semiHidden="0" w:unhideWhenUsed="0"/>
    <w:lsdException w:name="Medium Grid 3 Accent 2" w:uiPriority="69" w:semiHidden="0" w:unhideWhenUsed="0"/>
    <w:lsdException w:name="Dark List Accent 2" w:uiPriority="70" w:semiHidden="0" w:unhideWhenUsed="0"/>
    <w:lsdException w:name="Colorful Shading Accent 2" w:uiPriority="71" w:semiHidden="0" w:unhideWhenUsed="0"/>
    <w:lsdException w:name="Colorful List Accent 2" w:uiPriority="72" w:semiHidden="0" w:unhideWhenUsed="0"/>
    <w:lsdException w:name="Colorful Grid Accent 2" w:uiPriority="73" w:semiHidden="0" w:unhideWhenUsed="0"/>
    <w:lsdException w:name="Light Shading Accent 3" w:uiPriority="60" w:semiHidden="0" w:unhideWhenUsed="0"/>
    <w:lsdException w:name="Light List Accent 3" w:uiPriority="61" w:semiHidden="0" w:unhideWhenUsed="0"/>
    <w:lsdException w:name="Light Grid Accent 3" w:uiPriority="62" w:semiHidden="0" w:unhideWhenUsed="0"/>
    <w:lsdException w:name="Medium Shading 1 Accent 3" w:uiPriority="63" w:semiHidden="0" w:unhideWhenUsed="0"/>
    <w:lsdException w:name="Medium Shading 2 Accent 3" w:uiPriority="64" w:semiHidden="0" w:unhideWhenUsed="0"/>
    <w:lsdException w:name="Medium List 1 Accent 3" w:uiPriority="65" w:semiHidden="0" w:unhideWhenUsed="0"/>
    <w:lsdException w:name="Medium List 2 Accent 3" w:uiPriority="66" w:semiHidden="0" w:unhideWhenUsed="0"/>
    <w:lsdException w:name="Medium Grid 1 Accent 3" w:uiPriority="67" w:semiHidden="0" w:unhideWhenUsed="0"/>
    <w:lsdException w:name="Medium Grid 2 Accent 3" w:uiPriority="68" w:semiHidden="0" w:unhideWhenUsed="0"/>
    <w:lsdException w:name="Medium Grid 3 Accent 3" w:uiPriority="69" w:semiHidden="0" w:unhideWhenUsed="0"/>
    <w:lsdException w:name="Dark List Accent 3" w:uiPriority="70" w:semiHidden="0" w:unhideWhenUsed="0"/>
    <w:lsdException w:name="Colorful Shading Accent 3" w:uiPriority="71" w:semiHidden="0" w:unhideWhenUsed="0"/>
    <w:lsdException w:name="Colorful List Accent 3" w:uiPriority="72" w:semiHidden="0" w:unhideWhenUsed="0"/>
    <w:lsdException w:name="Colorful Grid Accent 3" w:uiPriority="73" w:semiHidden="0" w:unhideWhenUsed="0"/>
    <w:lsdException w:name="Light Shading Accent 4" w:uiPriority="60" w:semiHidden="0" w:unhideWhenUsed="0"/>
    <w:lsdException w:name="Light List Accent 4" w:uiPriority="61" w:semiHidden="0" w:unhideWhenUsed="0"/>
    <w:lsdException w:name="Light Grid Accent 4" w:uiPriority="62" w:semiHidden="0" w:unhideWhenUsed="0"/>
    <w:lsdException w:name="Medium Shading 1 Accent 4" w:uiPriority="63" w:semiHidden="0" w:unhideWhenUsed="0"/>
    <w:lsdException w:name="Medium Shading 2 Accent 4" w:uiPriority="64" w:semiHidden="0" w:unhideWhenUsed="0"/>
    <w:lsdException w:name="Medium List 1 Accent 4" w:uiPriority="65" w:semiHidden="0" w:unhideWhenUsed="0"/>
    <w:lsdException w:name="Medium List 2 Accent 4" w:uiPriority="66" w:semiHidden="0" w:unhideWhenUsed="0"/>
    <w:lsdException w:name="Medium Grid 1 Accent 4" w:uiPriority="67" w:semiHidden="0" w:unhideWhenUsed="0"/>
    <w:lsdException w:name="Medium Grid 2 Accent 4" w:uiPriority="68" w:semiHidden="0" w:unhideWhenUsed="0"/>
    <w:lsdException w:name="Medium Grid 3 Accent 4" w:uiPriority="69" w:semiHidden="0" w:unhideWhenUsed="0"/>
    <w:lsdException w:name="Dark List Accent 4" w:uiPriority="70" w:semiHidden="0" w:unhideWhenUsed="0"/>
    <w:lsdException w:name="Colorful Shading Accent 4" w:uiPriority="71" w:semiHidden="0" w:unhideWhenUsed="0"/>
    <w:lsdException w:name="Colorful List Accent 4" w:uiPriority="72" w:semiHidden="0" w:unhideWhenUsed="0"/>
    <w:lsdException w:name="Colorful Grid Accent 4" w:uiPriority="73" w:semiHidden="0" w:unhideWhenUsed="0"/>
    <w:lsdException w:name="Light Shading Accent 5" w:uiPriority="60" w:semiHidden="0" w:unhideWhenUsed="0"/>
    <w:lsdException w:name="Light List Accent 5" w:uiPriority="61" w:semiHidden="0" w:unhideWhenUsed="0"/>
    <w:lsdException w:name="Light Grid Accent 5" w:uiPriority="62" w:semiHidden="0" w:unhideWhenUsed="0"/>
    <w:lsdException w:name="Medium Shading 1 Accent 5" w:uiPriority="63" w:semiHidden="0" w:unhideWhenUsed="0"/>
    <w:lsdException w:name="Medium Shading 2 Accent 5" w:uiPriority="64" w:semiHidden="0" w:unhideWhenUsed="0"/>
    <w:lsdException w:name="Medium List 1 Accent 5" w:uiPriority="65" w:semiHidden="0" w:unhideWhenUsed="0"/>
    <w:lsdException w:name="Medium List 2 Accent 5" w:uiPriority="66" w:semiHidden="0" w:unhideWhenUsed="0"/>
    <w:lsdException w:name="Medium Grid 1 Accent 5" w:uiPriority="67" w:semiHidden="0" w:unhideWhenUsed="0"/>
    <w:lsdException w:name="Medium Grid 2 Accent 5" w:uiPriority="68" w:semiHidden="0" w:unhideWhenUsed="0"/>
    <w:lsdException w:name="Medium Grid 3 Accent 5" w:uiPriority="69" w:semiHidden="0" w:unhideWhenUsed="0"/>
    <w:lsdException w:name="Dark List Accent 5" w:uiPriority="70" w:semiHidden="0" w:unhideWhenUsed="0"/>
    <w:lsdException w:name="Colorful Shading Accent 5" w:uiPriority="71" w:semiHidden="0" w:unhideWhenUsed="0"/>
    <w:lsdException w:name="Colorful List Accent 5" w:uiPriority="72" w:semiHidden="0" w:unhideWhenUsed="0"/>
    <w:lsdException w:name="Colorful Grid Accent 5" w:uiPriority="73" w:semiHidden="0" w:unhideWhenUsed="0"/>
    <w:lsdException w:name="Light Shading Accent 6" w:uiPriority="60" w:semiHidden="0" w:unhideWhenUsed="0"/>
    <w:lsdException w:name="Light List Accent 6" w:uiPriority="61" w:semiHidden="0" w:unhideWhenUsed="0"/>
    <w:lsdException w:name="Light Grid Accent 6" w:uiPriority="62" w:semiHidden="0" w:unhideWhenUsed="0"/>
    <w:lsdException w:name="Medium Shading 1 Accent 6" w:uiPriority="63" w:semiHidden="0" w:unhideWhenUsed="0"/>
    <w:lsdException w:name="Medium Shading 2 Accent 6" w:uiPriority="64" w:semiHidden="0" w:unhideWhenUsed="0"/>
    <w:lsdException w:name="Medium List 1 Accent 6" w:uiPriority="65" w:semiHidden="0" w:unhideWhenUsed="0"/>
    <w:lsdException w:name="Medium List 2 Accent 6" w:uiPriority="66" w:semiHidden="0" w:unhideWhenUsed="0"/>
    <w:lsdException w:name="Medium Grid 1 Accent 6" w:uiPriority="67" w:semiHidden="0" w:unhideWhenUsed="0"/>
    <w:lsdException w:name="Medium Grid 2 Accent 6" w:uiPriority="68" w:semiHidden="0" w:unhideWhenUsed="0"/>
    <w:lsdException w:name="Medium Grid 3 Accent 6" w:uiPriority="69" w:semiHidden="0" w:unhideWhenUsed="0"/>
    <w:lsdException w:name="Dark List Accent 6" w:uiPriority="70" w:semiHidden="0" w:unhideWhenUsed="0"/>
    <w:lsdException w:name="Colorful Shading Accent 6" w:uiPriority="71" w:semiHidden="0" w:unhideWhenUsed="0"/>
    <w:lsdException w:name="Colorful List Accent 6" w:uiPriority="72" w:semiHidden="0" w:unhideWhenUsed="0"/>
    <w:lsdException w:name="Colorful Grid Accent 6" w:uiPriority="73" w:semiHidden="0" w:unhideWhenUsed="0"/>
    <w:lsdException w:name="Subtle Emphasis" w:uiPriority="19" w:semiHidden="0" w:unhideWhenUsed="0" w:qFormat="1"/>
    <w:lsdException w:name="Intense Emphasis" w:uiPriority="21" w:semiHidden="0" w:unhideWhenUsed="0" w:qFormat="1"/>
    <w:lsdException w:name="Subtle Reference" w:uiPriority="31" w:semiHidden="0" w:unhideWhenUsed="0" w:qFormat="1"/>
    <w:lsdException w:name="Intense Reference" w:uiPriority="32" w:semiHidden="0" w:unhideWhenUsed="0" w:qFormat="1"/>
    <w:lsdException w:name="Book Title" w:uiPriority="33" w:semiHidden="0" w:unhideWhenUsed="0" w:qFormat="1"/>
    <w:lsdException w:name="Bibliography" w:uiPriority="37"/>
    <w:lsdException w:name="TOC Heading" w:uiPriority="39" w:qFormat="1"/>
  </w:latentStyles>
  <w:style w:type="paragraph" w:styleId="Normal" w:default="1">
    <w:name w:val="Normal"/>
    <w:qFormat/>
    <w:rsid w:val="00fc693f"/>
    <w:pPr>
      <w:widowControl/>
      <w:suppressAutoHyphens w:val="true"/>
      <w:bidi w:val="0"/>
      <w:spacing w:lineRule="auto" w:line="276" w:before="0" w:after="200"/>
      <w:jc w:val="left"/>
    </w:pPr>
    <w:rPr>
      <w:rFonts w:ascii="Cambria" w:hAnsi="Cambria" w:eastAsia="" w:cs="" w:asciiTheme="minorHAnsi" w:cstheme="minorBidi" w:eastAsiaTheme="minorEastAsia" w:hAnsiTheme="minorHAnsi"/>
      <w:color w:val="auto"/>
      <w:kern w:val="0"/>
      <w:sz w:val="22"/>
      <w:szCs w:val="22"/>
      <w:lang w:val="en-US" w:eastAsia="en-US" w:bidi="ar-SA"/>
    </w:rPr>
  </w:style>
  <w:style w:type="paragraph" w:styleId="Heading1">
    <w:name w:val="Heading 1"/>
    <w:basedOn w:val="Normal"/>
    <w:next w:val="Normal"/>
    <w:link w:val="Heading1Char"/>
    <w:uiPriority w:val="9"/>
    <w:qFormat/>
    <w:rsid w:val="00fc693f"/>
    <w:pPr>
      <w:keepNext w:val="true"/>
      <w:keepLines/>
      <w:spacing w:before="480" w:after="0"/>
      <w:outlineLvl w:val="0"/>
    </w:pPr>
    <w:rPr>
      <w:rFonts w:ascii="Calibri" w:hAnsi="Calibri" w:eastAsia="" w:cs="" w:asciiTheme="majorHAnsi" w:cstheme="majorBidi" w:eastAsiaTheme="majorEastAsia" w:hAnsiTheme="majorHAnsi"/>
      <w:b/>
      <w:bCs/>
      <w:color w:themeColor="accent1" w:themeShade="bf" w:val="365F91"/>
      <w:sz w:val="28"/>
      <w:szCs w:val="28"/>
    </w:rPr>
  </w:style>
  <w:style w:type="paragraph" w:styleId="Heading2">
    <w:name w:val="Heading 2"/>
    <w:basedOn w:val="Normal"/>
    <w:next w:val="Normal"/>
    <w:link w:val="Heading2Char"/>
    <w:uiPriority w:val="9"/>
    <w:unhideWhenUsed/>
    <w:qFormat/>
    <w:rsid w:val="00fc693f"/>
    <w:pPr>
      <w:keepNext w:val="true"/>
      <w:keepLines/>
      <w:spacing w:before="200" w:after="0"/>
      <w:outlineLvl w:val="1"/>
    </w:pPr>
    <w:rPr>
      <w:rFonts w:ascii="Calibri" w:hAnsi="Calibri" w:eastAsia="" w:cs="" w:asciiTheme="majorHAnsi" w:cstheme="majorBidi" w:eastAsiaTheme="majorEastAsia" w:hAnsiTheme="majorHAnsi"/>
      <w:b/>
      <w:bCs/>
      <w:color w:themeColor="accent1" w:val="4F81BD"/>
      <w:sz w:val="26"/>
      <w:szCs w:val="26"/>
    </w:rPr>
  </w:style>
  <w:style w:type="paragraph" w:styleId="Heading3">
    <w:name w:val="Heading 3"/>
    <w:basedOn w:val="Normal"/>
    <w:next w:val="Normal"/>
    <w:link w:val="Heading3Char"/>
    <w:uiPriority w:val="9"/>
    <w:unhideWhenUsed/>
    <w:qFormat/>
    <w:rsid w:val="00fc693f"/>
    <w:pPr>
      <w:keepNext w:val="true"/>
      <w:keepLines/>
      <w:spacing w:before="200" w:after="0"/>
      <w:outlineLvl w:val="2"/>
    </w:pPr>
    <w:rPr>
      <w:rFonts w:ascii="Calibri" w:hAnsi="Calibri" w:eastAsia="" w:cs="" w:asciiTheme="majorHAnsi" w:cstheme="majorBidi" w:eastAsiaTheme="majorEastAsia" w:hAnsiTheme="majorHAnsi"/>
      <w:b/>
      <w:bCs/>
      <w:color w:themeColor="accent1" w:val="4F81BD"/>
    </w:rPr>
  </w:style>
  <w:style w:type="paragraph" w:styleId="Heading4">
    <w:name w:val="Heading 4"/>
    <w:basedOn w:val="Normal"/>
    <w:next w:val="Normal"/>
    <w:link w:val="Heading4Char"/>
    <w:uiPriority w:val="9"/>
    <w:semiHidden/>
    <w:unhideWhenUsed/>
    <w:qFormat/>
    <w:rsid w:val="00fc693f"/>
    <w:pPr>
      <w:keepNext w:val="true"/>
      <w:keepLines/>
      <w:spacing w:before="200" w:after="0"/>
      <w:outlineLvl w:val="3"/>
    </w:pPr>
    <w:rPr>
      <w:rFonts w:ascii="Calibri" w:hAnsi="Calibri" w:eastAsia="" w:cs="" w:asciiTheme="majorHAnsi" w:cstheme="majorBidi" w:eastAsiaTheme="majorEastAsia" w:hAnsiTheme="majorHAnsi"/>
      <w:b/>
      <w:bCs/>
      <w:i/>
      <w:iCs/>
      <w:color w:themeColor="accent1" w:val="4F81BD"/>
    </w:rPr>
  </w:style>
  <w:style w:type="paragraph" w:styleId="Heading5">
    <w:name w:val="Heading 5"/>
    <w:basedOn w:val="Normal"/>
    <w:next w:val="Normal"/>
    <w:link w:val="Heading5Char"/>
    <w:uiPriority w:val="9"/>
    <w:semiHidden/>
    <w:unhideWhenUsed/>
    <w:qFormat/>
    <w:rsid w:val="00fc693f"/>
    <w:pPr>
      <w:keepNext w:val="true"/>
      <w:keepLines/>
      <w:spacing w:before="200" w:after="0"/>
      <w:outlineLvl w:val="4"/>
    </w:pPr>
    <w:rPr>
      <w:rFonts w:ascii="Calibri" w:hAnsi="Calibri" w:eastAsia="" w:cs="" w:asciiTheme="majorHAnsi" w:cstheme="majorBidi" w:eastAsiaTheme="majorEastAsia" w:hAnsiTheme="majorHAnsi"/>
      <w:color w:themeColor="accent1" w:themeShade="7f" w:val="243F60"/>
    </w:rPr>
  </w:style>
  <w:style w:type="paragraph" w:styleId="Heading6">
    <w:name w:val="Heading 6"/>
    <w:basedOn w:val="Normal"/>
    <w:next w:val="Normal"/>
    <w:link w:val="Heading6Char"/>
    <w:uiPriority w:val="9"/>
    <w:semiHidden/>
    <w:unhideWhenUsed/>
    <w:qFormat/>
    <w:rsid w:val="00fc693f"/>
    <w:pPr>
      <w:keepNext w:val="true"/>
      <w:keepLines/>
      <w:spacing w:before="200" w:after="0"/>
      <w:outlineLvl w:val="5"/>
    </w:pPr>
    <w:rPr>
      <w:rFonts w:ascii="Calibri" w:hAnsi="Calibri" w:eastAsia="" w:cs="" w:asciiTheme="majorHAnsi" w:cstheme="majorBidi" w:eastAsiaTheme="majorEastAsia" w:hAnsiTheme="majorHAnsi"/>
      <w:i/>
      <w:iCs/>
      <w:color w:themeColor="accent1" w:themeShade="7f" w:val="243F60"/>
    </w:rPr>
  </w:style>
  <w:style w:type="paragraph" w:styleId="Heading7">
    <w:name w:val="Heading 7"/>
    <w:basedOn w:val="Normal"/>
    <w:next w:val="Normal"/>
    <w:link w:val="Heading7Char"/>
    <w:uiPriority w:val="9"/>
    <w:semiHidden/>
    <w:unhideWhenUsed/>
    <w:qFormat/>
    <w:rsid w:val="00fc693f"/>
    <w:pPr>
      <w:keepNext w:val="true"/>
      <w:keepLines/>
      <w:spacing w:before="200" w:after="0"/>
      <w:outlineLvl w:val="6"/>
    </w:pPr>
    <w:rPr>
      <w:rFonts w:ascii="Calibri" w:hAnsi="Calibri" w:eastAsia="" w:cs="" w:asciiTheme="majorHAnsi" w:cstheme="majorBidi" w:eastAsiaTheme="majorEastAsia" w:hAnsiTheme="majorHAnsi"/>
      <w:i/>
      <w:iCs/>
      <w:color w:themeColor="text1" w:themeTint="bf" w:val="404040"/>
    </w:rPr>
  </w:style>
  <w:style w:type="paragraph" w:styleId="Heading8">
    <w:name w:val="Heading 8"/>
    <w:basedOn w:val="Normal"/>
    <w:next w:val="Normal"/>
    <w:link w:val="Heading8Char"/>
    <w:uiPriority w:val="9"/>
    <w:semiHidden/>
    <w:unhideWhenUsed/>
    <w:qFormat/>
    <w:rsid w:val="00fc693f"/>
    <w:pPr>
      <w:keepNext w:val="true"/>
      <w:keepLines/>
      <w:spacing w:before="200" w:after="0"/>
      <w:outlineLvl w:val="7"/>
    </w:pPr>
    <w:rPr>
      <w:rFonts w:ascii="Calibri" w:hAnsi="Calibri" w:eastAsia="" w:cs="" w:asciiTheme="majorHAnsi" w:cstheme="majorBidi" w:eastAsiaTheme="majorEastAsia" w:hAnsiTheme="majorHAnsi"/>
      <w:color w:themeColor="accent1" w:val="4F81BD"/>
      <w:sz w:val="20"/>
      <w:szCs w:val="20"/>
    </w:rPr>
  </w:style>
  <w:style w:type="paragraph" w:styleId="Heading9">
    <w:name w:val="Heading 9"/>
    <w:basedOn w:val="Normal"/>
    <w:next w:val="Normal"/>
    <w:link w:val="Heading9Char"/>
    <w:uiPriority w:val="9"/>
    <w:semiHidden/>
    <w:unhideWhenUsed/>
    <w:qFormat/>
    <w:rsid w:val="00fc693f"/>
    <w:pPr>
      <w:keepNext w:val="true"/>
      <w:keepLines/>
      <w:spacing w:before="200" w:after="0"/>
      <w:outlineLvl w:val="8"/>
    </w:pPr>
    <w:rPr>
      <w:rFonts w:ascii="Calibri" w:hAnsi="Calibri" w:eastAsia="" w:cs="" w:asciiTheme="majorHAnsi" w:cstheme="majorBidi" w:eastAsiaTheme="majorEastAsia" w:hAnsiTheme="majorHAnsi"/>
      <w:i/>
      <w:iCs/>
      <w:color w:themeColor="text1" w:themeTint="bf" w:val="404040"/>
      <w:sz w:val="20"/>
      <w:szCs w:val="20"/>
    </w:rPr>
  </w:style>
  <w:style w:type="character" w:styleId="HeaderChar" w:customStyle="1">
    <w:name w:val="Header Char"/>
    <w:basedOn w:val="DefaultParagraphFont"/>
    <w:uiPriority w:val="99"/>
    <w:qFormat/>
    <w:rsid w:val="00e618bf"/>
    <w:rPr/>
  </w:style>
  <w:style w:type="character" w:styleId="FooterChar" w:customStyle="1">
    <w:name w:val="Footer Char"/>
    <w:basedOn w:val="DefaultParagraphFont"/>
    <w:uiPriority w:val="99"/>
    <w:qFormat/>
    <w:rsid w:val="00e618bf"/>
    <w:rPr/>
  </w:style>
  <w:style w:type="character" w:styleId="DefaultParagraphFont" w:default="1">
    <w:name w:val="Default Paragraph Font"/>
    <w:uiPriority w:val="1"/>
    <w:semiHidden/>
    <w:unhideWhenUsed/>
    <w:qFormat/>
    <w:rPr/>
  </w:style>
  <w:style w:type="character" w:styleId="Heading1Char" w:customStyle="1">
    <w:name w:val="Heading 1 Char"/>
    <w:basedOn w:val="DefaultParagraphFont"/>
    <w:uiPriority w:val="9"/>
    <w:qFormat/>
    <w:rsid w:val="00fc693f"/>
    <w:rPr>
      <w:rFonts w:ascii="Calibri" w:hAnsi="Calibri" w:eastAsia="" w:cs="" w:asciiTheme="majorHAnsi" w:cstheme="majorBidi" w:eastAsiaTheme="majorEastAsia" w:hAnsiTheme="majorHAnsi"/>
      <w:b/>
      <w:bCs/>
      <w:color w:themeColor="accent1" w:themeShade="bf" w:val="365F91"/>
      <w:sz w:val="28"/>
      <w:szCs w:val="28"/>
    </w:rPr>
  </w:style>
  <w:style w:type="character" w:styleId="Heading2Char" w:customStyle="1">
    <w:name w:val="Heading 2 Char"/>
    <w:basedOn w:val="DefaultParagraphFont"/>
    <w:uiPriority w:val="9"/>
    <w:qFormat/>
    <w:rsid w:val="00fc693f"/>
    <w:rPr>
      <w:rFonts w:ascii="Calibri" w:hAnsi="Calibri" w:eastAsia="" w:cs="" w:asciiTheme="majorHAnsi" w:cstheme="majorBidi" w:eastAsiaTheme="majorEastAsia" w:hAnsiTheme="majorHAnsi"/>
      <w:b/>
      <w:bCs/>
      <w:color w:themeColor="accent1" w:val="4F81BD"/>
      <w:sz w:val="26"/>
      <w:szCs w:val="26"/>
    </w:rPr>
  </w:style>
  <w:style w:type="character" w:styleId="Heading3Char" w:customStyle="1">
    <w:name w:val="Heading 3 Char"/>
    <w:basedOn w:val="DefaultParagraphFont"/>
    <w:uiPriority w:val="9"/>
    <w:qFormat/>
    <w:rsid w:val="00fc693f"/>
    <w:rPr>
      <w:rFonts w:ascii="Calibri" w:hAnsi="Calibri" w:eastAsia="" w:cs="" w:asciiTheme="majorHAnsi" w:cstheme="majorBidi" w:eastAsiaTheme="majorEastAsia" w:hAnsiTheme="majorHAnsi"/>
      <w:b/>
      <w:bCs/>
      <w:color w:themeColor="accent1" w:val="4F81BD"/>
    </w:rPr>
  </w:style>
  <w:style w:type="character" w:styleId="TitleChar" w:customStyle="1">
    <w:name w:val="Title Char"/>
    <w:basedOn w:val="DefaultParagraphFont"/>
    <w:uiPriority w:val="10"/>
    <w:qFormat/>
    <w:rsid w:val="00fc693f"/>
    <w:rPr>
      <w:rFonts w:ascii="Calibri" w:hAnsi="Calibri" w:eastAsia="" w:cs="" w:asciiTheme="majorHAnsi" w:cstheme="majorBidi" w:eastAsiaTheme="majorEastAsia" w:hAnsiTheme="majorHAnsi"/>
      <w:color w:themeColor="text2" w:themeShade="bf" w:val="17365D"/>
      <w:spacing w:val="5"/>
      <w:kern w:val="2"/>
      <w:sz w:val="52"/>
      <w:szCs w:val="52"/>
    </w:rPr>
  </w:style>
  <w:style w:type="character" w:styleId="SubtitleChar" w:customStyle="1">
    <w:name w:val="Subtitle Char"/>
    <w:basedOn w:val="DefaultParagraphFont"/>
    <w:uiPriority w:val="11"/>
    <w:qFormat/>
    <w:rsid w:val="00fc693f"/>
    <w:rPr>
      <w:rFonts w:ascii="Calibri" w:hAnsi="Calibri" w:eastAsia="" w:cs="" w:asciiTheme="majorHAnsi" w:cstheme="majorBidi" w:eastAsiaTheme="majorEastAsia" w:hAnsiTheme="majorHAnsi"/>
      <w:i/>
      <w:iCs/>
      <w:color w:themeColor="accent1" w:val="4F81BD"/>
      <w:spacing w:val="15"/>
      <w:sz w:val="24"/>
      <w:szCs w:val="24"/>
    </w:rPr>
  </w:style>
  <w:style w:type="character" w:styleId="BodyTextChar" w:customStyle="1">
    <w:name w:val="Body Text Char"/>
    <w:basedOn w:val="DefaultParagraphFont"/>
    <w:uiPriority w:val="99"/>
    <w:qFormat/>
    <w:rsid w:val="00aa1d8d"/>
    <w:rPr/>
  </w:style>
  <w:style w:type="character" w:styleId="BodyText2Char" w:customStyle="1">
    <w:name w:val="Body Text 2 Char"/>
    <w:basedOn w:val="DefaultParagraphFont"/>
    <w:link w:val="BodyText2"/>
    <w:uiPriority w:val="99"/>
    <w:qFormat/>
    <w:rsid w:val="00aa1d8d"/>
    <w:rPr/>
  </w:style>
  <w:style w:type="character" w:styleId="BodyText3Char" w:customStyle="1">
    <w:name w:val="Body Text 3 Char"/>
    <w:basedOn w:val="DefaultParagraphFont"/>
    <w:link w:val="BodyText3"/>
    <w:uiPriority w:val="99"/>
    <w:qFormat/>
    <w:rsid w:val="00aa1d8d"/>
    <w:rPr>
      <w:sz w:val="16"/>
      <w:szCs w:val="16"/>
    </w:rPr>
  </w:style>
  <w:style w:type="character" w:styleId="MacroTextChar" w:customStyle="1">
    <w:name w:val="Macro Text Char"/>
    <w:basedOn w:val="DefaultParagraphFont"/>
    <w:link w:val="Macro"/>
    <w:uiPriority w:val="99"/>
    <w:qFormat/>
    <w:rsid w:val="0029639d"/>
    <w:rPr>
      <w:rFonts w:ascii="Courier" w:hAnsi="Courier"/>
      <w:sz w:val="20"/>
      <w:szCs w:val="20"/>
    </w:rPr>
  </w:style>
  <w:style w:type="character" w:styleId="QuoteChar" w:customStyle="1">
    <w:name w:val="Quote Char"/>
    <w:basedOn w:val="DefaultParagraphFont"/>
    <w:link w:val="Quote"/>
    <w:uiPriority w:val="29"/>
    <w:qFormat/>
    <w:rsid w:val="00fc693f"/>
    <w:rPr>
      <w:i/>
      <w:iCs/>
      <w:color w:themeColor="text1" w:val="000000"/>
    </w:rPr>
  </w:style>
  <w:style w:type="character" w:styleId="Heading4Char" w:customStyle="1">
    <w:name w:val="Heading 4 Char"/>
    <w:basedOn w:val="DefaultParagraphFont"/>
    <w:uiPriority w:val="9"/>
    <w:semiHidden/>
    <w:qFormat/>
    <w:rsid w:val="00fc693f"/>
    <w:rPr>
      <w:rFonts w:ascii="Calibri" w:hAnsi="Calibri" w:eastAsia="" w:cs="" w:asciiTheme="majorHAnsi" w:cstheme="majorBidi" w:eastAsiaTheme="majorEastAsia" w:hAnsiTheme="majorHAnsi"/>
      <w:b/>
      <w:bCs/>
      <w:i/>
      <w:iCs/>
      <w:color w:themeColor="accent1" w:val="4F81BD"/>
    </w:rPr>
  </w:style>
  <w:style w:type="character" w:styleId="Heading5Char" w:customStyle="1">
    <w:name w:val="Heading 5 Char"/>
    <w:basedOn w:val="DefaultParagraphFont"/>
    <w:uiPriority w:val="9"/>
    <w:semiHidden/>
    <w:qFormat/>
    <w:rsid w:val="00fc693f"/>
    <w:rPr>
      <w:rFonts w:ascii="Calibri" w:hAnsi="Calibri" w:eastAsia="" w:cs="" w:asciiTheme="majorHAnsi" w:cstheme="majorBidi" w:eastAsiaTheme="majorEastAsia" w:hAnsiTheme="majorHAnsi"/>
      <w:color w:themeColor="accent1" w:themeShade="7f" w:val="243F60"/>
    </w:rPr>
  </w:style>
  <w:style w:type="character" w:styleId="Heading6Char" w:customStyle="1">
    <w:name w:val="Heading 6 Char"/>
    <w:basedOn w:val="DefaultParagraphFont"/>
    <w:uiPriority w:val="9"/>
    <w:semiHidden/>
    <w:qFormat/>
    <w:rsid w:val="00fc693f"/>
    <w:rPr>
      <w:rFonts w:ascii="Calibri" w:hAnsi="Calibri" w:eastAsia="" w:cs="" w:asciiTheme="majorHAnsi" w:cstheme="majorBidi" w:eastAsiaTheme="majorEastAsia" w:hAnsiTheme="majorHAnsi"/>
      <w:i/>
      <w:iCs/>
      <w:color w:themeColor="accent1" w:themeShade="7f" w:val="243F60"/>
    </w:rPr>
  </w:style>
  <w:style w:type="character" w:styleId="Heading7Char" w:customStyle="1">
    <w:name w:val="Heading 7 Char"/>
    <w:basedOn w:val="DefaultParagraphFont"/>
    <w:uiPriority w:val="9"/>
    <w:semiHidden/>
    <w:qFormat/>
    <w:rsid w:val="00fc693f"/>
    <w:rPr>
      <w:rFonts w:ascii="Calibri" w:hAnsi="Calibri" w:eastAsia="" w:cs="" w:asciiTheme="majorHAnsi" w:cstheme="majorBidi" w:eastAsiaTheme="majorEastAsia" w:hAnsiTheme="majorHAnsi"/>
      <w:i/>
      <w:iCs/>
      <w:color w:themeColor="text1" w:themeTint="bf" w:val="404040"/>
    </w:rPr>
  </w:style>
  <w:style w:type="character" w:styleId="Heading8Char" w:customStyle="1">
    <w:name w:val="Heading 8 Char"/>
    <w:basedOn w:val="DefaultParagraphFont"/>
    <w:uiPriority w:val="9"/>
    <w:semiHidden/>
    <w:qFormat/>
    <w:rsid w:val="00fc693f"/>
    <w:rPr>
      <w:rFonts w:ascii="Calibri" w:hAnsi="Calibri" w:eastAsia="" w:cs="" w:asciiTheme="majorHAnsi" w:cstheme="majorBidi" w:eastAsiaTheme="majorEastAsia" w:hAnsiTheme="majorHAnsi"/>
      <w:color w:themeColor="accent1" w:val="4F81BD"/>
      <w:sz w:val="20"/>
      <w:szCs w:val="20"/>
    </w:rPr>
  </w:style>
  <w:style w:type="character" w:styleId="Heading9Char" w:customStyle="1">
    <w:name w:val="Heading 9 Char"/>
    <w:basedOn w:val="DefaultParagraphFont"/>
    <w:uiPriority w:val="9"/>
    <w:semiHidden/>
    <w:qFormat/>
    <w:rsid w:val="00fc693f"/>
    <w:rPr>
      <w:rFonts w:ascii="Calibri" w:hAnsi="Calibri" w:eastAsia="" w:cs="" w:asciiTheme="majorHAnsi" w:cstheme="majorBidi" w:eastAsiaTheme="majorEastAsia" w:hAnsiTheme="majorHAnsi"/>
      <w:i/>
      <w:iCs/>
      <w:color w:themeColor="text1" w:themeTint="bf" w:val="404040"/>
      <w:sz w:val="20"/>
      <w:szCs w:val="20"/>
    </w:rPr>
  </w:style>
  <w:style w:type="character" w:styleId="Strong">
    <w:name w:val="Strong"/>
    <w:basedOn w:val="DefaultParagraphFont"/>
    <w:uiPriority w:val="22"/>
    <w:qFormat/>
    <w:rsid w:val="00fc693f"/>
    <w:rPr>
      <w:b/>
      <w:bCs/>
    </w:rPr>
  </w:style>
  <w:style w:type="character" w:styleId="Emphasis">
    <w:name w:val="Emphasis"/>
    <w:basedOn w:val="DefaultParagraphFont"/>
    <w:uiPriority w:val="20"/>
    <w:qFormat/>
    <w:rsid w:val="00fc693f"/>
    <w:rPr>
      <w:i/>
      <w:iCs/>
    </w:rPr>
  </w:style>
  <w:style w:type="character" w:styleId="IntenseQuoteChar" w:customStyle="1">
    <w:name w:val="Intense Quote Char"/>
    <w:basedOn w:val="DefaultParagraphFont"/>
    <w:link w:val="IntenseQuote"/>
    <w:uiPriority w:val="30"/>
    <w:qFormat/>
    <w:rsid w:val="00fc693f"/>
    <w:rPr>
      <w:b/>
      <w:bCs/>
      <w:i/>
      <w:iCs/>
      <w:color w:themeColor="accent1" w:val="4F81BD"/>
    </w:rPr>
  </w:style>
  <w:style w:type="character" w:styleId="SubtleEmphasis">
    <w:name w:val="Subtle Emphasis"/>
    <w:basedOn w:val="DefaultParagraphFont"/>
    <w:uiPriority w:val="19"/>
    <w:qFormat/>
    <w:rsid w:val="00fc693f"/>
    <w:rPr>
      <w:i/>
      <w:iCs/>
      <w:color w:themeColor="text1" w:themeTint="7f" w:val="808080"/>
    </w:rPr>
  </w:style>
  <w:style w:type="character" w:styleId="IntenseEmphasis">
    <w:name w:val="Intense Emphasis"/>
    <w:basedOn w:val="DefaultParagraphFont"/>
    <w:uiPriority w:val="21"/>
    <w:qFormat/>
    <w:rsid w:val="00fc693f"/>
    <w:rPr>
      <w:b/>
      <w:bCs/>
      <w:i/>
      <w:iCs/>
      <w:color w:themeColor="accent1" w:val="4F81BD"/>
    </w:rPr>
  </w:style>
  <w:style w:type="character" w:styleId="SubtleReference">
    <w:name w:val="Subtle Reference"/>
    <w:basedOn w:val="DefaultParagraphFont"/>
    <w:uiPriority w:val="31"/>
    <w:qFormat/>
    <w:rsid w:val="00fc693f"/>
    <w:rPr>
      <w:smallCaps/>
      <w:color w:themeColor="accent2" w:val="C0504D"/>
      <w:u w:val="single"/>
    </w:rPr>
  </w:style>
  <w:style w:type="character" w:styleId="IntenseReference">
    <w:name w:val="Intense Reference"/>
    <w:basedOn w:val="DefaultParagraphFont"/>
    <w:uiPriority w:val="32"/>
    <w:qFormat/>
    <w:rsid w:val="00fc693f"/>
    <w:rPr>
      <w:b/>
      <w:bCs/>
      <w:smallCaps/>
      <w:color w:themeColor="accent2" w:val="C0504D"/>
      <w:spacing w:val="5"/>
      <w:u w:val="single"/>
    </w:rPr>
  </w:style>
  <w:style w:type="character" w:styleId="BookTitle">
    <w:name w:val="Book Title"/>
    <w:basedOn w:val="DefaultParagraphFont"/>
    <w:uiPriority w:val="33"/>
    <w:qFormat/>
    <w:rsid w:val="00fc693f"/>
    <w:rPr>
      <w:b/>
      <w:bCs/>
      <w:smallCaps/>
      <w:spacing w:val="5"/>
    </w:rPr>
  </w:style>
  <w:style w:type="character" w:styleId="Opsommingstekens">
    <w:name w:val="Opsommingstekens"/>
    <w:qFormat/>
    <w:rPr>
      <w:rFonts w:ascii="OpenSymbol" w:hAnsi="OpenSymbol" w:eastAsia="OpenSymbol" w:cs="OpenSymbol"/>
    </w:rPr>
  </w:style>
  <w:style w:type="paragraph" w:styleId="Kop">
    <w:name w:val="Kop"/>
    <w:basedOn w:val="Normal"/>
    <w:next w:val="BodyText"/>
    <w:qFormat/>
    <w:pPr>
      <w:keepNext w:val="true"/>
      <w:spacing w:before="240" w:after="120"/>
    </w:pPr>
    <w:rPr>
      <w:rFonts w:ascii="Liberation Sans" w:hAnsi="Liberation Sans" w:eastAsia="Microsoft YaHei" w:cs="Arial"/>
      <w:sz w:val="28"/>
      <w:szCs w:val="28"/>
    </w:rPr>
  </w:style>
  <w:style w:type="paragraph" w:styleId="BodyText">
    <w:name w:val="Body Text"/>
    <w:basedOn w:val="Normal"/>
    <w:link w:val="BodyTextChar"/>
    <w:uiPriority w:val="99"/>
    <w:unhideWhenUsed/>
    <w:rsid w:val="00aa1d8d"/>
    <w:pPr>
      <w:spacing w:before="0" w:after="120"/>
    </w:pPr>
    <w:rPr/>
  </w:style>
  <w:style w:type="paragraph" w:styleId="List">
    <w:name w:val="List"/>
    <w:basedOn w:val="Normal"/>
    <w:uiPriority w:val="99"/>
    <w:unhideWhenUsed/>
    <w:rsid w:val="00aa1d8d"/>
    <w:pPr>
      <w:spacing w:before="0" w:after="200"/>
      <w:ind w:hanging="360" w:left="360"/>
      <w:contextualSpacing/>
    </w:pPr>
    <w:rPr/>
  </w:style>
  <w:style w:type="paragraph" w:styleId="Caption">
    <w:name w:val="Caption"/>
    <w:basedOn w:val="Normal"/>
    <w:qFormat/>
    <w:pPr>
      <w:suppressLineNumbers/>
      <w:spacing w:before="120" w:after="120"/>
    </w:pPr>
    <w:rPr>
      <w:rFonts w:cs="Arial"/>
      <w:i/>
      <w:iCs/>
      <w:sz w:val="24"/>
      <w:szCs w:val="24"/>
    </w:rPr>
  </w:style>
  <w:style w:type="paragraph" w:styleId="Index">
    <w:name w:val="Index"/>
    <w:basedOn w:val="Normal"/>
    <w:qFormat/>
    <w:pPr>
      <w:suppressLineNumbers/>
    </w:pPr>
    <w:rPr>
      <w:rFonts w:cs="Arial"/>
    </w:rPr>
  </w:style>
  <w:style w:type="paragraph" w:styleId="Kop-envoettekst">
    <w:name w:val="Kop- en voettekst"/>
    <w:basedOn w:val="Normal"/>
    <w:qFormat/>
    <w:pPr/>
    <w:rPr/>
  </w:style>
  <w:style w:type="paragraph" w:styleId="Header">
    <w:name w:val="Header"/>
    <w:basedOn w:val="Normal"/>
    <w:link w:val="HeaderChar"/>
    <w:uiPriority w:val="99"/>
    <w:unhideWhenUsed/>
    <w:rsid w:val="00e618bf"/>
    <w:pPr>
      <w:tabs>
        <w:tab w:val="clear" w:pos="720"/>
        <w:tab w:val="center" w:pos="4680" w:leader="none"/>
        <w:tab w:val="right" w:pos="9360" w:leader="none"/>
      </w:tabs>
      <w:spacing w:lineRule="auto" w:line="240" w:before="0" w:after="0"/>
    </w:pPr>
    <w:rPr/>
  </w:style>
  <w:style w:type="paragraph" w:styleId="Footer">
    <w:name w:val="Footer"/>
    <w:basedOn w:val="Normal"/>
    <w:link w:val="FooterChar"/>
    <w:uiPriority w:val="99"/>
    <w:unhideWhenUsed/>
    <w:rsid w:val="00e618bf"/>
    <w:pPr>
      <w:tabs>
        <w:tab w:val="clear" w:pos="720"/>
        <w:tab w:val="center" w:pos="4680" w:leader="none"/>
        <w:tab w:val="right" w:pos="9360" w:leader="none"/>
      </w:tabs>
      <w:spacing w:lineRule="auto" w:line="240" w:before="0" w:after="0"/>
    </w:pPr>
    <w:rPr/>
  </w:style>
  <w:style w:type="paragraph" w:styleId="NoSpacing">
    <w:name w:val="No Spacing"/>
    <w:uiPriority w:val="1"/>
    <w:qFormat/>
    <w:rsid w:val="00fc693f"/>
    <w:pPr>
      <w:widowControl/>
      <w:suppressAutoHyphens w:val="true"/>
      <w:bidi w:val="0"/>
      <w:spacing w:lineRule="auto" w:line="240" w:before="0" w:after="0"/>
      <w:jc w:val="left"/>
    </w:pPr>
    <w:rPr>
      <w:rFonts w:ascii="Cambria" w:hAnsi="Cambria" w:eastAsia="" w:cs="" w:asciiTheme="minorHAnsi" w:cstheme="minorBidi" w:eastAsiaTheme="minorEastAsia" w:hAnsiTheme="minorHAnsi"/>
      <w:color w:val="auto"/>
      <w:kern w:val="0"/>
      <w:sz w:val="22"/>
      <w:szCs w:val="22"/>
      <w:lang w:val="en-US" w:eastAsia="en-US" w:bidi="ar-SA"/>
    </w:rPr>
  </w:style>
  <w:style w:type="paragraph" w:styleId="Title">
    <w:name w:val="Title"/>
    <w:basedOn w:val="Normal"/>
    <w:next w:val="Normal"/>
    <w:link w:val="TitleChar"/>
    <w:uiPriority w:val="10"/>
    <w:qFormat/>
    <w:rsid w:val="00fc693f"/>
    <w:pPr>
      <w:pBdr>
        <w:bottom w:val="single" w:sz="8" w:space="4" w:color="4F81BD" w:themeColor="accent1"/>
      </w:pBdr>
      <w:spacing w:lineRule="auto" w:line="240" w:before="0" w:after="300"/>
      <w:contextualSpacing/>
    </w:pPr>
    <w:rPr>
      <w:rFonts w:ascii="Calibri" w:hAnsi="Calibri" w:eastAsia="" w:cs="" w:asciiTheme="majorHAnsi" w:cstheme="majorBidi" w:eastAsiaTheme="majorEastAsia" w:hAnsiTheme="majorHAnsi"/>
      <w:color w:themeColor="text2" w:themeShade="bf" w:val="17365D"/>
      <w:spacing w:val="5"/>
      <w:kern w:val="2"/>
      <w:sz w:val="52"/>
      <w:szCs w:val="52"/>
    </w:rPr>
  </w:style>
  <w:style w:type="paragraph" w:styleId="Subtitle">
    <w:name w:val="Subtitle"/>
    <w:basedOn w:val="Normal"/>
    <w:next w:val="Normal"/>
    <w:link w:val="SubtitleChar"/>
    <w:uiPriority w:val="11"/>
    <w:qFormat/>
    <w:rsid w:val="00fc693f"/>
    <w:pPr/>
    <w:rPr>
      <w:rFonts w:ascii="Calibri" w:hAnsi="Calibri" w:eastAsia="" w:cs="" w:asciiTheme="majorHAnsi" w:cstheme="majorBidi" w:eastAsiaTheme="majorEastAsia" w:hAnsiTheme="majorHAnsi"/>
      <w:i/>
      <w:iCs/>
      <w:color w:themeColor="accent1" w:val="4F81BD"/>
      <w:spacing w:val="15"/>
      <w:sz w:val="24"/>
      <w:szCs w:val="24"/>
    </w:rPr>
  </w:style>
  <w:style w:type="paragraph" w:styleId="ListParagraph">
    <w:name w:val="List Paragraph"/>
    <w:basedOn w:val="Normal"/>
    <w:uiPriority w:val="34"/>
    <w:qFormat/>
    <w:rsid w:val="00fc693f"/>
    <w:pPr>
      <w:spacing w:before="0" w:after="200"/>
      <w:ind w:left="720"/>
      <w:contextualSpacing/>
    </w:pPr>
    <w:rPr/>
  </w:style>
  <w:style w:type="paragraph" w:styleId="BodyText2">
    <w:name w:val="Body Text 2"/>
    <w:basedOn w:val="Normal"/>
    <w:link w:val="BodyText2Char"/>
    <w:uiPriority w:val="99"/>
    <w:unhideWhenUsed/>
    <w:qFormat/>
    <w:rsid w:val="00aa1d8d"/>
    <w:pPr>
      <w:spacing w:lineRule="auto" w:line="480" w:before="0" w:after="120"/>
    </w:pPr>
    <w:rPr/>
  </w:style>
  <w:style w:type="paragraph" w:styleId="BodyText3">
    <w:name w:val="Body Text 3"/>
    <w:basedOn w:val="Normal"/>
    <w:link w:val="BodyText3Char"/>
    <w:uiPriority w:val="99"/>
    <w:unhideWhenUsed/>
    <w:qFormat/>
    <w:rsid w:val="00aa1d8d"/>
    <w:pPr>
      <w:spacing w:before="0" w:after="120"/>
    </w:pPr>
    <w:rPr>
      <w:sz w:val="16"/>
      <w:szCs w:val="16"/>
    </w:rPr>
  </w:style>
  <w:style w:type="paragraph" w:styleId="List2">
    <w:name w:val="List 2"/>
    <w:basedOn w:val="Normal"/>
    <w:uiPriority w:val="99"/>
    <w:unhideWhenUsed/>
    <w:qFormat/>
    <w:rsid w:val="00326f90"/>
    <w:pPr>
      <w:spacing w:before="0" w:after="200"/>
      <w:ind w:hanging="360" w:left="720"/>
      <w:contextualSpacing/>
    </w:pPr>
    <w:rPr/>
  </w:style>
  <w:style w:type="paragraph" w:styleId="List3">
    <w:name w:val="List 3"/>
    <w:basedOn w:val="Normal"/>
    <w:uiPriority w:val="99"/>
    <w:unhideWhenUsed/>
    <w:qFormat/>
    <w:rsid w:val="00326f90"/>
    <w:pPr>
      <w:spacing w:before="0" w:after="200"/>
      <w:ind w:hanging="360" w:left="1080"/>
      <w:contextualSpacing/>
    </w:pPr>
    <w:rPr/>
  </w:style>
  <w:style w:type="paragraph" w:styleId="ListBullet">
    <w:name w:val="List Bullet"/>
    <w:basedOn w:val="Normal"/>
    <w:uiPriority w:val="99"/>
    <w:unhideWhenUsed/>
    <w:rsid w:val="00326f90"/>
    <w:pPr>
      <w:numPr>
        <w:ilvl w:val="0"/>
        <w:numId w:val="1"/>
      </w:numPr>
      <w:spacing w:before="0" w:after="200"/>
      <w:contextualSpacing/>
    </w:pPr>
    <w:rPr/>
  </w:style>
  <w:style w:type="paragraph" w:styleId="ListBullet2">
    <w:name w:val="List Bullet 2"/>
    <w:basedOn w:val="Normal"/>
    <w:uiPriority w:val="99"/>
    <w:unhideWhenUsed/>
    <w:rsid w:val="00326f90"/>
    <w:pPr>
      <w:numPr>
        <w:ilvl w:val="0"/>
        <w:numId w:val="2"/>
      </w:numPr>
      <w:spacing w:before="0" w:after="200"/>
      <w:contextualSpacing/>
    </w:pPr>
    <w:rPr/>
  </w:style>
  <w:style w:type="paragraph" w:styleId="ListBullet3">
    <w:name w:val="List Bullet 3"/>
    <w:basedOn w:val="Normal"/>
    <w:uiPriority w:val="99"/>
    <w:unhideWhenUsed/>
    <w:rsid w:val="00326f90"/>
    <w:pPr>
      <w:numPr>
        <w:ilvl w:val="0"/>
        <w:numId w:val="3"/>
      </w:numPr>
      <w:spacing w:before="0" w:after="200"/>
      <w:contextualSpacing/>
    </w:pPr>
    <w:rPr/>
  </w:style>
  <w:style w:type="paragraph" w:styleId="ListNumber">
    <w:name w:val="List Number"/>
    <w:basedOn w:val="Normal"/>
    <w:uiPriority w:val="99"/>
    <w:unhideWhenUsed/>
    <w:rsid w:val="00326f90"/>
    <w:pPr>
      <w:numPr>
        <w:ilvl w:val="0"/>
        <w:numId w:val="4"/>
      </w:numPr>
      <w:spacing w:before="0" w:after="200"/>
      <w:contextualSpacing/>
    </w:pPr>
    <w:rPr/>
  </w:style>
  <w:style w:type="paragraph" w:styleId="ListNumber2">
    <w:name w:val="List Number 2"/>
    <w:basedOn w:val="Normal"/>
    <w:uiPriority w:val="99"/>
    <w:unhideWhenUsed/>
    <w:rsid w:val="0029639d"/>
    <w:pPr>
      <w:numPr>
        <w:ilvl w:val="0"/>
        <w:numId w:val="5"/>
      </w:numPr>
      <w:spacing w:before="0" w:after="200"/>
      <w:contextualSpacing/>
    </w:pPr>
    <w:rPr/>
  </w:style>
  <w:style w:type="paragraph" w:styleId="ListNumber3">
    <w:name w:val="List Number 3"/>
    <w:basedOn w:val="Normal"/>
    <w:uiPriority w:val="99"/>
    <w:unhideWhenUsed/>
    <w:rsid w:val="0029639d"/>
    <w:pPr>
      <w:numPr>
        <w:ilvl w:val="0"/>
        <w:numId w:val="6"/>
      </w:numPr>
      <w:spacing w:before="0" w:after="200"/>
      <w:contextualSpacing/>
    </w:pPr>
    <w:rPr/>
  </w:style>
  <w:style w:type="paragraph" w:styleId="ListContinue">
    <w:name w:val="List Continue"/>
    <w:basedOn w:val="Normal"/>
    <w:uiPriority w:val="99"/>
    <w:unhideWhenUsed/>
    <w:rsid w:val="0029639d"/>
    <w:pPr>
      <w:spacing w:before="0" w:after="120"/>
      <w:ind w:left="360"/>
      <w:contextualSpacing/>
    </w:pPr>
    <w:rPr/>
  </w:style>
  <w:style w:type="paragraph" w:styleId="ListContinue2">
    <w:name w:val="List Continue 2"/>
    <w:basedOn w:val="Normal"/>
    <w:uiPriority w:val="99"/>
    <w:unhideWhenUsed/>
    <w:rsid w:val="0029639d"/>
    <w:pPr>
      <w:spacing w:before="0" w:after="120"/>
      <w:ind w:left="720"/>
      <w:contextualSpacing/>
    </w:pPr>
    <w:rPr/>
  </w:style>
  <w:style w:type="paragraph" w:styleId="ListContinue3">
    <w:name w:val="List Continue 3"/>
    <w:basedOn w:val="Normal"/>
    <w:uiPriority w:val="99"/>
    <w:unhideWhenUsed/>
    <w:rsid w:val="0029639d"/>
    <w:pPr>
      <w:spacing w:before="0" w:after="120"/>
      <w:ind w:left="1080"/>
      <w:contextualSpacing/>
    </w:pPr>
    <w:rPr/>
  </w:style>
  <w:style w:type="paragraph" w:styleId="Macro">
    <w:name w:val="macro"/>
    <w:link w:val="MacroTextChar"/>
    <w:uiPriority w:val="99"/>
    <w:unhideWhenUsed/>
    <w:qFormat/>
    <w:rsid w:val="0029639d"/>
    <w:pPr>
      <w:widowControl/>
      <w:tabs>
        <w:tab w:val="clear" w:pos="720"/>
        <w:tab w:val="left" w:pos="576" w:leader="none"/>
        <w:tab w:val="left" w:pos="1152" w:leader="none"/>
        <w:tab w:val="left" w:pos="1728" w:leader="none"/>
        <w:tab w:val="left" w:pos="2304" w:leader="none"/>
        <w:tab w:val="left" w:pos="2880" w:leader="none"/>
        <w:tab w:val="left" w:pos="3456" w:leader="none"/>
        <w:tab w:val="left" w:pos="4032" w:leader="none"/>
      </w:tabs>
      <w:suppressAutoHyphens w:val="true"/>
      <w:bidi w:val="0"/>
      <w:spacing w:lineRule="auto" w:line="276" w:before="0" w:after="200"/>
      <w:jc w:val="left"/>
    </w:pPr>
    <w:rPr>
      <w:rFonts w:ascii="Courier" w:hAnsi="Courier" w:eastAsia="" w:cs="" w:cstheme="minorBidi" w:eastAsiaTheme="minorEastAsia"/>
      <w:color w:val="auto"/>
      <w:kern w:val="0"/>
      <w:sz w:val="20"/>
      <w:szCs w:val="20"/>
      <w:lang w:val="en-US" w:eastAsia="en-US" w:bidi="ar-SA"/>
    </w:rPr>
  </w:style>
  <w:style w:type="paragraph" w:styleId="Quote">
    <w:name w:val="Quote"/>
    <w:basedOn w:val="Normal"/>
    <w:next w:val="Normal"/>
    <w:link w:val="QuoteChar"/>
    <w:uiPriority w:val="29"/>
    <w:qFormat/>
    <w:rsid w:val="00fc693f"/>
    <w:pPr/>
    <w:rPr>
      <w:i/>
      <w:iCs/>
      <w:color w:themeColor="text1" w:val="000000"/>
    </w:rPr>
  </w:style>
  <w:style w:type="paragraph" w:styleId="Caption1">
    <w:name w:val="caption1"/>
    <w:basedOn w:val="Normal"/>
    <w:next w:val="Normal"/>
    <w:uiPriority w:val="35"/>
    <w:semiHidden/>
    <w:unhideWhenUsed/>
    <w:qFormat/>
    <w:rsid w:val="00fc693f"/>
    <w:pPr>
      <w:spacing w:lineRule="auto" w:line="240"/>
    </w:pPr>
    <w:rPr>
      <w:b/>
      <w:bCs/>
      <w:color w:themeColor="accent1" w:val="4F81BD"/>
      <w:sz w:val="18"/>
      <w:szCs w:val="18"/>
    </w:rPr>
  </w:style>
  <w:style w:type="paragraph" w:styleId="IntenseQuote">
    <w:name w:val="Intense Quote"/>
    <w:basedOn w:val="Normal"/>
    <w:next w:val="Normal"/>
    <w:link w:val="IntenseQuoteChar"/>
    <w:uiPriority w:val="30"/>
    <w:qFormat/>
    <w:rsid w:val="00fc693f"/>
    <w:pPr>
      <w:pBdr>
        <w:bottom w:val="single" w:sz="4" w:space="4" w:color="4F81BD" w:themeColor="accent1"/>
      </w:pBdr>
      <w:spacing w:before="200" w:after="280"/>
      <w:ind w:left="936" w:right="936"/>
    </w:pPr>
    <w:rPr>
      <w:b/>
      <w:bCs/>
      <w:i/>
      <w:iCs/>
      <w:color w:themeColor="accent1" w:val="4F81BD"/>
    </w:rPr>
  </w:style>
  <w:style w:type="paragraph" w:styleId="IndexHeading">
    <w:name w:val="Index Heading"/>
    <w:basedOn w:val="Kop"/>
    <w:pPr/>
    <w:rPr/>
  </w:style>
  <w:style w:type="paragraph" w:styleId="TOCHeading">
    <w:name w:val="TOC Heading"/>
    <w:basedOn w:val="Heading1"/>
    <w:next w:val="Normal"/>
    <w:uiPriority w:val="39"/>
    <w:semiHidden/>
    <w:unhideWhenUsed/>
    <w:qFormat/>
    <w:rsid w:val="00fc693f"/>
    <w:pPr>
      <w:outlineLvl w:val="9"/>
    </w:pPr>
    <w:rPr/>
  </w:style>
  <w:style w:type="paragraph" w:styleId="Inhoudtabel">
    <w:name w:val="Inhoud tabel"/>
    <w:basedOn w:val="Normal"/>
    <w:qFormat/>
    <w:pPr>
      <w:widowControl w:val="false"/>
      <w:suppressLineNumbers/>
    </w:pPr>
    <w:rPr/>
  </w:style>
  <w:style w:type="paragraph" w:styleId="Tabelkop">
    <w:name w:val="Tabelkop"/>
    <w:basedOn w:val="Inhoudtabel"/>
    <w:qFormat/>
    <w:pPr>
      <w:suppressLineNumbers/>
      <w:jc w:val="center"/>
    </w:pPr>
    <w:rPr>
      <w:b/>
      <w:bCs/>
    </w:rPr>
  </w:style>
  <w:style w:type="numbering" w:styleId="NoList" w:default="1">
    <w:name w:val="No List"/>
    <w:uiPriority w:val="99"/>
    <w:semiHidden/>
    <w:unhideWhenUsed/>
    <w:qFormat/>
  </w:style>
  <w:style w:type="table" w:default="1" w:styleId="TableNormal">
    <w:name w:val="Normal Table"/>
    <w:uiPriority w:val="99"/>
    <w:semiHidden/>
    <w:unhideWhenUsed/>
    <w:tblPr>
      <w:tblCellMar>
        <w:top w:w="0" w:type="dxa"/>
        <w:left w:w="108" w:type="dxa"/>
        <w:bottom w:w="0" w:type="dxa"/>
        <w:right w:w="108" w:type="dxa"/>
      </w:tblCellMar>
    </w:tblPr>
  </w:style>
  <w:style w:type="table" w:styleId="TableGrid">
    <w:name w:val="Table Grid"/>
    <w:basedOn w:val="TableNormal"/>
    <w:uiPriority w:val="59"/>
    <w:rsid w:val="00fc693f"/>
    <w:pPr>
      <w:spacing w:after="0" w:line="240" w:lineRule="auto"/>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table" w:styleId="LightShading">
    <w:name w:val="Light Shading"/>
    <w:basedOn w:val="TableNormal"/>
    <w:uiPriority w:val="60"/>
    <w:rsid w:val="00fc693f"/>
    <w:pPr>
      <w:spacing w:after="0" w:line="240" w:lineRule="auto"/>
    </w:pPr>
    <w:rPr>
      <w:color w:themeColor="text1" w:themeShade="bf"/>
    </w:rPr>
    <w:tblPr>
      <w:tblStyleRowBandSize w:val="1"/>
      <w:tblStyleColBandSize w:val="1"/>
      <w:tblBorders>
        <w:top w:val="single" w:color="000000" w:themeColor="text1" w:sz="8" w:space="0"/>
        <w:bottom w:val="single" w:color="000000" w:themeColor="text1" w:sz="8" w:space="0"/>
      </w:tblBorders>
      <w:tblCellMar>
        <w:top w:w="0" w:type="dxa"/>
        <w:left w:w="108" w:type="dxa"/>
        <w:bottom w:w="0" w:type="dxa"/>
        <w:right w:w="108" w:type="dxa"/>
      </w:tblCellMar>
    </w:tblPr>
    <w:tblStylePr w:type="firstRow">
      <w:pPr>
        <w:spacing w:before="0" w:after="0" w:line="240" w:lineRule="auto"/>
      </w:pPr>
      <w:rPr>
        <w:b/>
        <w:bCs/>
      </w:rPr>
      <w:tblPr/>
      <w:tcPr>
        <w:tcBorders>
          <w:top w:val="single" w:color="000000" w:themeColor="text1" w:sz="8" w:space="0"/>
          <w:left w:val="nil"/>
          <w:bottom w:val="single" w:color="000000" w:themeColor="text1" w:sz="8" w:space="0"/>
          <w:right w:val="nil"/>
          <w:insideH w:val="nil"/>
          <w:insideV w:val="nil"/>
        </w:tcBorders>
      </w:tcPr>
    </w:tblStylePr>
    <w:tblStylePr w:type="lastRow">
      <w:pPr>
        <w:spacing w:before="0" w:after="0" w:line="240" w:lineRule="auto"/>
      </w:pPr>
      <w:rPr>
        <w:b/>
        <w:bCs/>
      </w:rPr>
      <w:tblPr/>
      <w:tcPr>
        <w:tcBorders>
          <w:top w:val="single" w:color="000000" w:themeColor="text1" w:sz="8" w:space="0"/>
          <w:left w:val="nil"/>
          <w:bottom w:val="single" w:color="000000" w:themeColor="text1" w:sz="8" w:space="0"/>
          <w:right w:val="nil"/>
          <w:insideH w:val="nil"/>
          <w:insideV w:val="nil"/>
        </w:tcBorders>
      </w:tcPr>
    </w:tblStylePr>
    <w:tblStylePr w:type="firstCol">
      <w:rPr>
        <w:b/>
        <w:bCs/>
      </w:rPr>
      <w:tblPr/>
    </w:tblStylePr>
    <w:tblStylePr w:type="lastCol">
      <w:rPr>
        <w:b/>
        <w:bCs/>
      </w:rPr>
      <w:tbl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rsid w:val="00fc693f"/>
    <w:pPr>
      <w:spacing w:after="0" w:line="240" w:lineRule="auto"/>
    </w:pPr>
    <w:rPr>
      <w:color w:themeColor="accent1" w:themeShade="bf"/>
    </w:rPr>
    <w:tblPr>
      <w:tblStyleRowBandSize w:val="1"/>
      <w:tblStyleColBandSize w:val="1"/>
      <w:tblBorders>
        <w:top w:val="single" w:color="4F81BD" w:themeColor="accent1" w:sz="8" w:space="0"/>
        <w:bottom w:val="single" w:color="4F81BD" w:themeColor="accent1" w:sz="8" w:space="0"/>
      </w:tblBorders>
      <w:tblCellMar>
        <w:top w:w="0" w:type="dxa"/>
        <w:left w:w="108" w:type="dxa"/>
        <w:bottom w:w="0" w:type="dxa"/>
        <w:right w:w="108" w:type="dxa"/>
      </w:tblCellMar>
    </w:tblPr>
    <w:tblStylePr w:type="firstRow">
      <w:pPr>
        <w:spacing w:before="0" w:after="0" w:line="240" w:lineRule="auto"/>
      </w:pPr>
      <w:rPr>
        <w:b/>
        <w:bCs/>
      </w:rPr>
      <w:tblPr/>
      <w:tcPr>
        <w:tcBorders>
          <w:top w:val="single" w:color="4F81BD" w:themeColor="accent1" w:sz="8" w:space="0"/>
          <w:left w:val="nil"/>
          <w:bottom w:val="single" w:color="4F81BD" w:themeColor="accent1" w:sz="8" w:space="0"/>
          <w:right w:val="nil"/>
          <w:insideH w:val="nil"/>
          <w:insideV w:val="nil"/>
        </w:tcBorders>
      </w:tcPr>
    </w:tblStylePr>
    <w:tblStylePr w:type="lastRow">
      <w:pPr>
        <w:spacing w:before="0" w:after="0" w:line="240" w:lineRule="auto"/>
      </w:pPr>
      <w:rPr>
        <w:b/>
        <w:bCs/>
      </w:rPr>
      <w:tblPr/>
      <w:tcPr>
        <w:tcBorders>
          <w:top w:val="single" w:color="4F81BD" w:themeColor="accent1" w:sz="8" w:space="0"/>
          <w:left w:val="nil"/>
          <w:bottom w:val="single" w:color="4F81BD" w:themeColor="accent1" w:sz="8" w:space="0"/>
          <w:right w:val="nil"/>
          <w:insideH w:val="nil"/>
          <w:insideV w:val="nil"/>
        </w:tcBorders>
      </w:tcPr>
    </w:tblStylePr>
    <w:tblStylePr w:type="firstCol">
      <w:rPr>
        <w:b/>
        <w:bCs/>
      </w:rPr>
      <w:tblPr/>
    </w:tblStylePr>
    <w:tblStylePr w:type="lastCol">
      <w:rPr>
        <w:b/>
        <w:bCs/>
      </w:rPr>
      <w:tbl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rsid w:val="00fc693f"/>
    <w:pPr>
      <w:spacing w:after="0" w:line="240" w:lineRule="auto"/>
    </w:pPr>
    <w:rPr>
      <w:color w:themeColor="accent2" w:themeShade="bf"/>
    </w:rPr>
    <w:tblPr>
      <w:tblStyleRowBandSize w:val="1"/>
      <w:tblStyleColBandSize w:val="1"/>
      <w:tblBorders>
        <w:top w:val="single" w:color="C0504D" w:themeColor="accent2" w:sz="8" w:space="0"/>
        <w:bottom w:val="single" w:color="C0504D" w:themeColor="accent2" w:sz="8" w:space="0"/>
      </w:tblBorders>
      <w:tblCellMar>
        <w:top w:w="0" w:type="dxa"/>
        <w:left w:w="108" w:type="dxa"/>
        <w:bottom w:w="0" w:type="dxa"/>
        <w:right w:w="108" w:type="dxa"/>
      </w:tblCellMar>
    </w:tblPr>
    <w:tblStylePr w:type="firstRow">
      <w:pPr>
        <w:spacing w:before="0" w:after="0" w:line="240" w:lineRule="auto"/>
      </w:pPr>
      <w:rPr>
        <w:b/>
        <w:bCs/>
      </w:rPr>
      <w:tblPr/>
      <w:tcPr>
        <w:tcBorders>
          <w:top w:val="single" w:color="C0504D" w:themeColor="accent2" w:sz="8" w:space="0"/>
          <w:left w:val="nil"/>
          <w:bottom w:val="single" w:color="C0504D" w:themeColor="accent2" w:sz="8" w:space="0"/>
          <w:right w:val="nil"/>
          <w:insideH w:val="nil"/>
          <w:insideV w:val="nil"/>
        </w:tcBorders>
      </w:tcPr>
    </w:tblStylePr>
    <w:tblStylePr w:type="lastRow">
      <w:pPr>
        <w:spacing w:before="0" w:after="0" w:line="240" w:lineRule="auto"/>
      </w:pPr>
      <w:rPr>
        <w:b/>
        <w:bCs/>
      </w:rPr>
      <w:tblPr/>
      <w:tcPr>
        <w:tcBorders>
          <w:top w:val="single" w:color="C0504D" w:themeColor="accent2" w:sz="8" w:space="0"/>
          <w:left w:val="nil"/>
          <w:bottom w:val="single" w:color="C0504D" w:themeColor="accent2" w:sz="8" w:space="0"/>
          <w:right w:val="nil"/>
          <w:insideH w:val="nil"/>
          <w:insideV w:val="nil"/>
        </w:tcBorders>
      </w:tcPr>
    </w:tblStylePr>
    <w:tblStylePr w:type="firstCol">
      <w:rPr>
        <w:b/>
        <w:bCs/>
      </w:rPr>
      <w:tblPr/>
    </w:tblStylePr>
    <w:tblStylePr w:type="lastCol">
      <w:rPr>
        <w:b/>
        <w:bCs/>
      </w:rPr>
      <w:tbl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LightShading-Accent3">
    <w:name w:val="Light Shading Accent 3"/>
    <w:basedOn w:val="TableNormal"/>
    <w:uiPriority w:val="60"/>
    <w:rsid w:val="00fc693f"/>
    <w:pPr>
      <w:spacing w:after="0" w:line="240" w:lineRule="auto"/>
    </w:pPr>
    <w:rPr>
      <w:color w:themeColor="accent3" w:themeShade="bf"/>
    </w:rPr>
    <w:tblPr>
      <w:tblStyleRowBandSize w:val="1"/>
      <w:tblStyleColBandSize w:val="1"/>
      <w:tblBorders>
        <w:top w:val="single" w:color="9BBB59" w:themeColor="accent3" w:sz="8" w:space="0"/>
        <w:bottom w:val="single" w:color="9BBB59" w:themeColor="accent3" w:sz="8" w:space="0"/>
      </w:tblBorders>
      <w:tblCellMar>
        <w:top w:w="0" w:type="dxa"/>
        <w:left w:w="108" w:type="dxa"/>
        <w:bottom w:w="0" w:type="dxa"/>
        <w:right w:w="108" w:type="dxa"/>
      </w:tblCellMar>
    </w:tblPr>
    <w:tblStylePr w:type="firstRow">
      <w:pPr>
        <w:spacing w:before="0" w:after="0" w:line="240" w:lineRule="auto"/>
      </w:pPr>
      <w:rPr>
        <w:b/>
        <w:bCs/>
      </w:rPr>
      <w:tblPr/>
      <w:tcPr>
        <w:tcBorders>
          <w:top w:val="single" w:color="9BBB59" w:themeColor="accent3" w:sz="8" w:space="0"/>
          <w:left w:val="nil"/>
          <w:bottom w:val="single" w:color="9BBB59" w:themeColor="accent3" w:sz="8" w:space="0"/>
          <w:right w:val="nil"/>
          <w:insideH w:val="nil"/>
          <w:insideV w:val="nil"/>
        </w:tcBorders>
      </w:tcPr>
    </w:tblStylePr>
    <w:tblStylePr w:type="lastRow">
      <w:pPr>
        <w:spacing w:before="0" w:after="0" w:line="240" w:lineRule="auto"/>
      </w:pPr>
      <w:rPr>
        <w:b/>
        <w:bCs/>
      </w:rPr>
      <w:tblPr/>
      <w:tcPr>
        <w:tcBorders>
          <w:top w:val="single" w:color="9BBB59" w:themeColor="accent3" w:sz="8" w:space="0"/>
          <w:left w:val="nil"/>
          <w:bottom w:val="single" w:color="9BBB59" w:themeColor="accent3" w:sz="8" w:space="0"/>
          <w:right w:val="nil"/>
          <w:insideH w:val="nil"/>
          <w:insideV w:val="nil"/>
        </w:tcBorders>
      </w:tcPr>
    </w:tblStylePr>
    <w:tblStylePr w:type="firstCol">
      <w:rPr>
        <w:b/>
        <w:bCs/>
      </w:rPr>
      <w:tblPr/>
    </w:tblStylePr>
    <w:tblStylePr w:type="lastCol">
      <w:rPr>
        <w:b/>
        <w:bCs/>
      </w:rPr>
      <w:tbl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ghtShading-Accent4">
    <w:name w:val="Light Shading Accent 4"/>
    <w:basedOn w:val="TableNormal"/>
    <w:uiPriority w:val="60"/>
    <w:rsid w:val="00fc693f"/>
    <w:pPr>
      <w:spacing w:after="0" w:line="240" w:lineRule="auto"/>
    </w:pPr>
    <w:rPr>
      <w:color w:themeColor="accent4" w:themeShade="bf"/>
    </w:rPr>
    <w:tblPr>
      <w:tblStyleRowBandSize w:val="1"/>
      <w:tblStyleColBandSize w:val="1"/>
      <w:tblBorders>
        <w:top w:val="single" w:color="8064A2" w:themeColor="accent4" w:sz="8" w:space="0"/>
        <w:bottom w:val="single" w:color="8064A2" w:themeColor="accent4" w:sz="8" w:space="0"/>
      </w:tblBorders>
      <w:tblCellMar>
        <w:top w:w="0" w:type="dxa"/>
        <w:left w:w="108" w:type="dxa"/>
        <w:bottom w:w="0" w:type="dxa"/>
        <w:right w:w="108" w:type="dxa"/>
      </w:tblCellMar>
    </w:tblPr>
    <w:tblStylePr w:type="firstRow">
      <w:pPr>
        <w:spacing w:before="0" w:after="0" w:line="240" w:lineRule="auto"/>
      </w:pPr>
      <w:rPr>
        <w:b/>
        <w:bCs/>
      </w:rPr>
      <w:tblPr/>
      <w:tcPr>
        <w:tcBorders>
          <w:top w:val="single" w:color="8064A2" w:themeColor="accent4" w:sz="8" w:space="0"/>
          <w:left w:val="nil"/>
          <w:bottom w:val="single" w:color="8064A2" w:themeColor="accent4" w:sz="8" w:space="0"/>
          <w:right w:val="nil"/>
          <w:insideH w:val="nil"/>
          <w:insideV w:val="nil"/>
        </w:tcBorders>
      </w:tcPr>
    </w:tblStylePr>
    <w:tblStylePr w:type="lastRow">
      <w:pPr>
        <w:spacing w:before="0" w:after="0" w:line="240" w:lineRule="auto"/>
      </w:pPr>
      <w:rPr>
        <w:b/>
        <w:bCs/>
      </w:rPr>
      <w:tblPr/>
      <w:tcPr>
        <w:tcBorders>
          <w:top w:val="single" w:color="8064A2" w:themeColor="accent4" w:sz="8" w:space="0"/>
          <w:left w:val="nil"/>
          <w:bottom w:val="single" w:color="8064A2" w:themeColor="accent4" w:sz="8" w:space="0"/>
          <w:right w:val="nil"/>
          <w:insideH w:val="nil"/>
          <w:insideV w:val="nil"/>
        </w:tcBorders>
      </w:tcPr>
    </w:tblStylePr>
    <w:tblStylePr w:type="firstCol">
      <w:rPr>
        <w:b/>
        <w:bCs/>
      </w:rPr>
      <w:tblPr/>
    </w:tblStylePr>
    <w:tblStylePr w:type="lastCol">
      <w:rPr>
        <w:b/>
        <w:bCs/>
      </w:rPr>
      <w:tbl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ightShading-Accent5">
    <w:name w:val="Light Shading Accent 5"/>
    <w:basedOn w:val="TableNormal"/>
    <w:uiPriority w:val="60"/>
    <w:rsid w:val="00fc693f"/>
    <w:pPr>
      <w:spacing w:after="0" w:line="240" w:lineRule="auto"/>
    </w:pPr>
    <w:rPr>
      <w:color w:themeColor="accent5" w:themeShade="bf"/>
    </w:rPr>
    <w:tblPr>
      <w:tblStyleRowBandSize w:val="1"/>
      <w:tblStyleColBandSize w:val="1"/>
      <w:tblBorders>
        <w:top w:val="single" w:color="4BACC6" w:themeColor="accent5" w:sz="8" w:space="0"/>
        <w:bottom w:val="single" w:color="4BACC6" w:themeColor="accent5" w:sz="8" w:space="0"/>
      </w:tblBorders>
      <w:tblCellMar>
        <w:top w:w="0" w:type="dxa"/>
        <w:left w:w="108" w:type="dxa"/>
        <w:bottom w:w="0" w:type="dxa"/>
        <w:right w:w="108" w:type="dxa"/>
      </w:tblCellMar>
    </w:tblPr>
    <w:tblStylePr w:type="firstRow">
      <w:pPr>
        <w:spacing w:before="0" w:after="0" w:line="240" w:lineRule="auto"/>
      </w:pPr>
      <w:rPr>
        <w:b/>
        <w:bCs/>
      </w:rPr>
      <w:tblPr/>
      <w:tcPr>
        <w:tcBorders>
          <w:top w:val="single" w:color="4BACC6" w:themeColor="accent5" w:sz="8" w:space="0"/>
          <w:left w:val="nil"/>
          <w:bottom w:val="single" w:color="4BACC6" w:themeColor="accent5" w:sz="8" w:space="0"/>
          <w:right w:val="nil"/>
          <w:insideH w:val="nil"/>
          <w:insideV w:val="nil"/>
        </w:tcBorders>
      </w:tcPr>
    </w:tblStylePr>
    <w:tblStylePr w:type="lastRow">
      <w:pPr>
        <w:spacing w:before="0" w:after="0" w:line="240" w:lineRule="auto"/>
      </w:pPr>
      <w:rPr>
        <w:b/>
        <w:bCs/>
      </w:rPr>
      <w:tblPr/>
      <w:tcPr>
        <w:tcBorders>
          <w:top w:val="single" w:color="4BACC6" w:themeColor="accent5" w:sz="8" w:space="0"/>
          <w:left w:val="nil"/>
          <w:bottom w:val="single" w:color="4BACC6" w:themeColor="accent5" w:sz="8" w:space="0"/>
          <w:right w:val="nil"/>
          <w:insideH w:val="nil"/>
          <w:insideV w:val="nil"/>
        </w:tcBorders>
      </w:tcPr>
    </w:tblStylePr>
    <w:tblStylePr w:type="firstCol">
      <w:rPr>
        <w:b/>
        <w:bCs/>
      </w:rPr>
      <w:tblPr/>
    </w:tblStylePr>
    <w:tblStylePr w:type="lastCol">
      <w:rPr>
        <w:b/>
        <w:bCs/>
      </w:rPr>
      <w:tbl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LightShading-Accent6">
    <w:name w:val="Light Shading Accent 6"/>
    <w:basedOn w:val="TableNormal"/>
    <w:uiPriority w:val="60"/>
    <w:rsid w:val="00fc693f"/>
    <w:pPr>
      <w:spacing w:after="0" w:line="240" w:lineRule="auto"/>
    </w:pPr>
    <w:rPr>
      <w:color w:themeColor="accent6" w:themeShade="bf"/>
    </w:rPr>
    <w:tblPr>
      <w:tblStyleRowBandSize w:val="1"/>
      <w:tblStyleColBandSize w:val="1"/>
      <w:tblBorders>
        <w:top w:val="single" w:color="F79646" w:themeColor="accent6" w:sz="8" w:space="0"/>
        <w:bottom w:val="single" w:color="F79646" w:themeColor="accent6" w:sz="8" w:space="0"/>
      </w:tblBorders>
      <w:tblCellMar>
        <w:top w:w="0" w:type="dxa"/>
        <w:left w:w="108" w:type="dxa"/>
        <w:bottom w:w="0" w:type="dxa"/>
        <w:right w:w="108" w:type="dxa"/>
      </w:tblCellMar>
    </w:tblPr>
    <w:tblStylePr w:type="firstRow">
      <w:pPr>
        <w:spacing w:before="0" w:after="0" w:line="240" w:lineRule="auto"/>
      </w:pPr>
      <w:rPr>
        <w:b/>
        <w:bCs/>
      </w:rPr>
      <w:tblPr/>
      <w:tcPr>
        <w:tcBorders>
          <w:top w:val="single" w:color="F79646" w:themeColor="accent6" w:sz="8" w:space="0"/>
          <w:left w:val="nil"/>
          <w:bottom w:val="single" w:color="F79646" w:themeColor="accent6" w:sz="8" w:space="0"/>
          <w:right w:val="nil"/>
          <w:insideH w:val="nil"/>
          <w:insideV w:val="nil"/>
        </w:tcBorders>
      </w:tcPr>
    </w:tblStylePr>
    <w:tblStylePr w:type="lastRow">
      <w:pPr>
        <w:spacing w:before="0" w:after="0" w:line="240" w:lineRule="auto"/>
      </w:pPr>
      <w:rPr>
        <w:b/>
        <w:bCs/>
      </w:rPr>
      <w:tblPr/>
      <w:tcPr>
        <w:tcBorders>
          <w:top w:val="single" w:color="F79646" w:themeColor="accent6" w:sz="8" w:space="0"/>
          <w:left w:val="nil"/>
          <w:bottom w:val="single" w:color="F79646" w:themeColor="accent6" w:sz="8" w:space="0"/>
          <w:right w:val="nil"/>
          <w:insideH w:val="nil"/>
          <w:insideV w:val="nil"/>
        </w:tcBorders>
      </w:tcPr>
    </w:tblStylePr>
    <w:tblStylePr w:type="firstCol">
      <w:rPr>
        <w:b/>
        <w:bCs/>
      </w:rPr>
      <w:tblPr/>
    </w:tblStylePr>
    <w:tblStylePr w:type="lastCol">
      <w:rPr>
        <w:b/>
        <w:bCs/>
      </w:rPr>
      <w:tbl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LightList">
    <w:name w:val="Light List"/>
    <w:basedOn w:val="TableNormal"/>
    <w:uiPriority w:val="61"/>
    <w:rsid w:val="00fc693f"/>
    <w:pPr>
      <w:spacing w:after="0" w:line="240" w:lineRule="auto"/>
    </w:pPr>
    <w:tblPr>
      <w:tblStyleRowBandSize w:val="1"/>
      <w:tblStyleColBandSize w:val="1"/>
      <w:tblBorders>
        <w:top w:val="single" w:color="000000" w:themeColor="text1" w:sz="8" w:space="0"/>
        <w:left w:val="single" w:color="000000" w:themeColor="text1" w:sz="8" w:space="0"/>
        <w:bottom w:val="single" w:color="000000" w:themeColor="text1" w:sz="8" w:space="0"/>
        <w:right w:val="single" w:color="000000" w:themeColor="text1" w:sz="8" w:space="0"/>
      </w:tblBorders>
      <w:tblCellMar>
        <w:top w:w="0" w:type="dxa"/>
        <w:left w:w="108" w:type="dxa"/>
        <w:bottom w:w="0" w:type="dxa"/>
        <w:right w:w="108" w:type="dxa"/>
      </w:tblCellMar>
    </w:tblPr>
    <w:tblStylePr w:type="firstRow">
      <w:pPr>
        <w:spacing w:before="0" w:after="0" w:line="240" w:lineRule="auto"/>
      </w:pPr>
      <w:rPr>
        <w:b/>
        <w:bCs/>
        <w:color w:themeColor="background1"/>
      </w:rPr>
      <w:tblPr/>
      <w:tcPr>
        <w:shd w:val="clear" w:color="auto" w:fill="000000" w:themeFill="text1"/>
      </w:tcPr>
    </w:tblStylePr>
    <w:tblStylePr w:type="lastRow">
      <w:pPr>
        <w:spacing w:before="0" w:after="0" w:line="240" w:lineRule="auto"/>
      </w:pPr>
      <w:rPr>
        <w:b/>
        <w:bCs/>
      </w:rPr>
      <w:tblPr/>
      <w:tcPr>
        <w:tcBorders>
          <w:top w:val="double" w:color="000000" w:themeColor="text1" w:sz="6" w:space="0"/>
          <w:left w:val="single" w:color="000000" w:themeColor="text1" w:sz="8" w:space="0"/>
          <w:bottom w:val="single" w:color="000000" w:themeColor="text1" w:sz="8" w:space="0"/>
          <w:right w:val="single" w:color="000000" w:themeColor="text1" w:sz="8" w:space="0"/>
        </w:tcBorders>
      </w:tcPr>
    </w:tblStylePr>
    <w:tblStylePr w:type="firstCol">
      <w:rPr>
        <w:b/>
        <w:bCs/>
      </w:rPr>
      <w:tblPr/>
    </w:tblStylePr>
    <w:tblStylePr w:type="lastCol">
      <w:rPr>
        <w:b/>
        <w:bCs/>
      </w:rPr>
      <w:tblPr/>
    </w:tblStylePr>
    <w:tblStylePr w:type="band1Vert">
      <w:tblPr/>
      <w:tcPr>
        <w:tcBorders>
          <w:top w:val="single" w:color="000000" w:themeColor="text1" w:sz="8" w:space="0"/>
          <w:left w:val="single" w:color="000000" w:themeColor="text1" w:sz="8" w:space="0"/>
          <w:bottom w:val="single" w:color="000000" w:themeColor="text1" w:sz="8" w:space="0"/>
          <w:right w:val="single" w:color="000000" w:themeColor="text1" w:sz="8" w:space="0"/>
        </w:tcBorders>
      </w:tcPr>
    </w:tblStylePr>
    <w:tblStylePr w:type="band1Horz">
      <w:tblPr/>
      <w:tcPr>
        <w:tcBorders>
          <w:top w:val="single" w:color="000000" w:themeColor="text1" w:sz="8" w:space="0"/>
          <w:left w:val="single" w:color="000000" w:themeColor="text1" w:sz="8" w:space="0"/>
          <w:bottom w:val="single" w:color="000000" w:themeColor="text1" w:sz="8" w:space="0"/>
          <w:right w:val="single" w:color="000000" w:themeColor="text1" w:sz="8" w:space="0"/>
        </w:tcBorders>
      </w:tcPr>
    </w:tblStylePr>
  </w:style>
  <w:style w:type="table" w:styleId="LightList-Accent1">
    <w:name w:val="Light List Accent 1"/>
    <w:basedOn w:val="TableNormal"/>
    <w:uiPriority w:val="61"/>
    <w:rsid w:val="00fc693f"/>
    <w:pPr>
      <w:spacing w:after="0" w:line="240" w:lineRule="auto"/>
    </w:pPr>
    <w:tblPr>
      <w:tblStyleRowBandSize w:val="1"/>
      <w:tblStyleColBandSize w:val="1"/>
      <w:tblBorders>
        <w:top w:val="single" w:color="4F81BD" w:themeColor="accent1" w:sz="8" w:space="0"/>
        <w:left w:val="single" w:color="4F81BD" w:themeColor="accent1" w:sz="8" w:space="0"/>
        <w:bottom w:val="single" w:color="4F81BD" w:themeColor="accent1" w:sz="8" w:space="0"/>
        <w:right w:val="single" w:color="4F81BD" w:themeColor="accent1" w:sz="8" w:space="0"/>
      </w:tblBorders>
      <w:tblCellMar>
        <w:top w:w="0" w:type="dxa"/>
        <w:left w:w="108" w:type="dxa"/>
        <w:bottom w:w="0" w:type="dxa"/>
        <w:right w:w="108" w:type="dxa"/>
      </w:tblCellMar>
    </w:tblPr>
    <w:tblStylePr w:type="firstRow">
      <w:pPr>
        <w:spacing w:before="0" w:after="0" w:line="240" w:lineRule="auto"/>
      </w:pPr>
      <w:rPr>
        <w:b/>
        <w:bCs/>
        <w:color w:themeColor="background1"/>
      </w:rPr>
      <w:tblPr/>
      <w:tcPr>
        <w:shd w:val="clear" w:color="auto" w:fill="4F81BD" w:themeFill="accent1"/>
      </w:tcPr>
    </w:tblStylePr>
    <w:tblStylePr w:type="lastRow">
      <w:pPr>
        <w:spacing w:before="0" w:after="0" w:line="240" w:lineRule="auto"/>
      </w:pPr>
      <w:rPr>
        <w:b/>
        <w:bCs/>
      </w:rPr>
      <w:tblPr/>
      <w:tcPr>
        <w:tcBorders>
          <w:top w:val="double" w:color="4F81BD" w:themeColor="accent1" w:sz="6" w:space="0"/>
          <w:left w:val="single" w:color="4F81BD" w:themeColor="accent1" w:sz="8" w:space="0"/>
          <w:bottom w:val="single" w:color="4F81BD" w:themeColor="accent1" w:sz="8" w:space="0"/>
          <w:right w:val="single" w:color="4F81BD" w:themeColor="accent1" w:sz="8" w:space="0"/>
        </w:tcBorders>
      </w:tcPr>
    </w:tblStylePr>
    <w:tblStylePr w:type="firstCol">
      <w:rPr>
        <w:b/>
        <w:bCs/>
      </w:rPr>
      <w:tblPr/>
    </w:tblStylePr>
    <w:tblStylePr w:type="lastCol">
      <w:rPr>
        <w:b/>
        <w:bCs/>
      </w:rPr>
      <w:tblPr/>
    </w:tblStylePr>
    <w:tblStylePr w:type="band1Vert">
      <w:tblPr/>
      <w:tcPr>
        <w:tcBorders>
          <w:top w:val="single" w:color="4F81BD" w:themeColor="accent1" w:sz="8" w:space="0"/>
          <w:left w:val="single" w:color="4F81BD" w:themeColor="accent1" w:sz="8" w:space="0"/>
          <w:bottom w:val="single" w:color="4F81BD" w:themeColor="accent1" w:sz="8" w:space="0"/>
          <w:right w:val="single" w:color="4F81BD" w:themeColor="accent1" w:sz="8" w:space="0"/>
        </w:tcBorders>
      </w:tcPr>
    </w:tblStylePr>
    <w:tblStylePr w:type="band1Horz">
      <w:tblPr/>
      <w:tcPr>
        <w:tcBorders>
          <w:top w:val="single" w:color="4F81BD" w:themeColor="accent1" w:sz="8" w:space="0"/>
          <w:left w:val="single" w:color="4F81BD" w:themeColor="accent1" w:sz="8" w:space="0"/>
          <w:bottom w:val="single" w:color="4F81BD" w:themeColor="accent1" w:sz="8" w:space="0"/>
          <w:right w:val="single" w:color="4F81BD" w:themeColor="accent1" w:sz="8" w:space="0"/>
        </w:tcBorders>
      </w:tcPr>
    </w:tblStylePr>
  </w:style>
  <w:style w:type="table" w:styleId="LightList-Accent2">
    <w:name w:val="Light List Accent 2"/>
    <w:basedOn w:val="TableNormal"/>
    <w:uiPriority w:val="61"/>
    <w:rsid w:val="00cb0664"/>
    <w:pPr>
      <w:spacing w:after="0" w:line="240" w:lineRule="auto"/>
    </w:pPr>
    <w:tblPr>
      <w:tblStyleRowBandSize w:val="1"/>
      <w:tblStyleColBandSize w:val="1"/>
      <w:tblBorders>
        <w:top w:val="single" w:color="C0504D" w:themeColor="accent2" w:sz="8" w:space="0"/>
        <w:left w:val="single" w:color="C0504D" w:themeColor="accent2" w:sz="8" w:space="0"/>
        <w:bottom w:val="single" w:color="C0504D" w:themeColor="accent2" w:sz="8" w:space="0"/>
        <w:right w:val="single" w:color="C0504D" w:themeColor="accent2" w:sz="8" w:space="0"/>
      </w:tblBorders>
      <w:tblCellMar>
        <w:top w:w="0" w:type="dxa"/>
        <w:left w:w="108" w:type="dxa"/>
        <w:bottom w:w="0" w:type="dxa"/>
        <w:right w:w="108" w:type="dxa"/>
      </w:tblCellMar>
    </w:tblPr>
    <w:tblStylePr w:type="firstRow">
      <w:pPr>
        <w:spacing w:before="0" w:after="0" w:line="240" w:lineRule="auto"/>
      </w:pPr>
      <w:rPr>
        <w:b/>
        <w:bCs/>
        <w:color w:themeColor="background1"/>
      </w:rPr>
      <w:tblPr/>
      <w:tcPr>
        <w:shd w:val="clear" w:color="auto" w:fill="C0504D" w:themeFill="accent2"/>
      </w:tcPr>
    </w:tblStylePr>
    <w:tblStylePr w:type="lastRow">
      <w:pPr>
        <w:spacing w:before="0" w:after="0" w:line="240" w:lineRule="auto"/>
      </w:pPr>
      <w:rPr>
        <w:b/>
        <w:bCs/>
      </w:rPr>
      <w:tblPr/>
      <w:tcPr>
        <w:tcBorders>
          <w:top w:val="double" w:color="C0504D" w:themeColor="accent2" w:sz="6" w:space="0"/>
          <w:left w:val="single" w:color="C0504D" w:themeColor="accent2" w:sz="8" w:space="0"/>
          <w:bottom w:val="single" w:color="C0504D" w:themeColor="accent2" w:sz="8" w:space="0"/>
          <w:right w:val="single" w:color="C0504D" w:themeColor="accent2" w:sz="8" w:space="0"/>
        </w:tcBorders>
      </w:tcPr>
    </w:tblStylePr>
    <w:tblStylePr w:type="firstCol">
      <w:rPr>
        <w:b/>
        <w:bCs/>
      </w:rPr>
      <w:tblPr/>
    </w:tblStylePr>
    <w:tblStylePr w:type="lastCol">
      <w:rPr>
        <w:b/>
        <w:bCs/>
      </w:rPr>
      <w:tblPr/>
    </w:tblStylePr>
    <w:tblStylePr w:type="band1Vert">
      <w:tblPr/>
      <w:tcPr>
        <w:tcBorders>
          <w:top w:val="single" w:color="C0504D" w:themeColor="accent2" w:sz="8" w:space="0"/>
          <w:left w:val="single" w:color="C0504D" w:themeColor="accent2" w:sz="8" w:space="0"/>
          <w:bottom w:val="single" w:color="C0504D" w:themeColor="accent2" w:sz="8" w:space="0"/>
          <w:right w:val="single" w:color="C0504D" w:themeColor="accent2" w:sz="8" w:space="0"/>
        </w:tcBorders>
      </w:tcPr>
    </w:tblStylePr>
    <w:tblStylePr w:type="band1Horz">
      <w:tblPr/>
      <w:tcPr>
        <w:tcBorders>
          <w:top w:val="single" w:color="C0504D" w:themeColor="accent2" w:sz="8" w:space="0"/>
          <w:left w:val="single" w:color="C0504D" w:themeColor="accent2" w:sz="8" w:space="0"/>
          <w:bottom w:val="single" w:color="C0504D" w:themeColor="accent2" w:sz="8" w:space="0"/>
          <w:right w:val="single" w:color="C0504D" w:themeColor="accent2" w:sz="8" w:space="0"/>
        </w:tcBorders>
      </w:tcPr>
    </w:tblStylePr>
  </w:style>
  <w:style w:type="table" w:styleId="LightList-Accent3">
    <w:name w:val="Light List Accent 3"/>
    <w:basedOn w:val="TableNormal"/>
    <w:uiPriority w:val="61"/>
    <w:rsid w:val="00cb0664"/>
    <w:pPr>
      <w:spacing w:after="0" w:line="240" w:lineRule="auto"/>
    </w:pPr>
    <w:tblPr>
      <w:tblStyleRowBandSize w:val="1"/>
      <w:tblStyleColBandSize w:val="1"/>
      <w:tblBorders>
        <w:top w:val="single" w:color="9BBB59" w:themeColor="accent3" w:sz="8" w:space="0"/>
        <w:left w:val="single" w:color="9BBB59" w:themeColor="accent3" w:sz="8" w:space="0"/>
        <w:bottom w:val="single" w:color="9BBB59" w:themeColor="accent3" w:sz="8" w:space="0"/>
        <w:right w:val="single" w:color="9BBB59" w:themeColor="accent3" w:sz="8" w:space="0"/>
      </w:tblBorders>
      <w:tblCellMar>
        <w:top w:w="0" w:type="dxa"/>
        <w:left w:w="108" w:type="dxa"/>
        <w:bottom w:w="0" w:type="dxa"/>
        <w:right w:w="108" w:type="dxa"/>
      </w:tblCellMar>
    </w:tblPr>
    <w:tblStylePr w:type="firstRow">
      <w:pPr>
        <w:spacing w:before="0" w:after="0" w:line="240" w:lineRule="auto"/>
      </w:pPr>
      <w:rPr>
        <w:b/>
        <w:bCs/>
        <w:color w:themeColor="background1"/>
      </w:rPr>
      <w:tblPr/>
      <w:tcPr>
        <w:shd w:val="clear" w:color="auto" w:fill="9BBB59" w:themeFill="accent3"/>
      </w:tcPr>
    </w:tblStylePr>
    <w:tblStylePr w:type="lastRow">
      <w:pPr>
        <w:spacing w:before="0" w:after="0" w:line="240" w:lineRule="auto"/>
      </w:pPr>
      <w:rPr>
        <w:b/>
        <w:bCs/>
      </w:rPr>
      <w:tblPr/>
      <w:tcPr>
        <w:tcBorders>
          <w:top w:val="double" w:color="9BBB59" w:themeColor="accent3" w:sz="6" w:space="0"/>
          <w:left w:val="single" w:color="9BBB59" w:themeColor="accent3" w:sz="8" w:space="0"/>
          <w:bottom w:val="single" w:color="9BBB59" w:themeColor="accent3" w:sz="8" w:space="0"/>
          <w:right w:val="single" w:color="9BBB59" w:themeColor="accent3" w:sz="8" w:space="0"/>
        </w:tcBorders>
      </w:tcPr>
    </w:tblStylePr>
    <w:tblStylePr w:type="firstCol">
      <w:rPr>
        <w:b/>
        <w:bCs/>
      </w:rPr>
      <w:tblPr/>
    </w:tblStylePr>
    <w:tblStylePr w:type="lastCol">
      <w:rPr>
        <w:b/>
        <w:bCs/>
      </w:rPr>
      <w:tblPr/>
    </w:tblStylePr>
    <w:tblStylePr w:type="band1Vert">
      <w:tblPr/>
      <w:tcPr>
        <w:tcBorders>
          <w:top w:val="single" w:color="9BBB59" w:themeColor="accent3" w:sz="8" w:space="0"/>
          <w:left w:val="single" w:color="9BBB59" w:themeColor="accent3" w:sz="8" w:space="0"/>
          <w:bottom w:val="single" w:color="9BBB59" w:themeColor="accent3" w:sz="8" w:space="0"/>
          <w:right w:val="single" w:color="9BBB59" w:themeColor="accent3" w:sz="8" w:space="0"/>
        </w:tcBorders>
      </w:tcPr>
    </w:tblStylePr>
    <w:tblStylePr w:type="band1Horz">
      <w:tblPr/>
      <w:tcPr>
        <w:tcBorders>
          <w:top w:val="single" w:color="9BBB59" w:themeColor="accent3" w:sz="8" w:space="0"/>
          <w:left w:val="single" w:color="9BBB59" w:themeColor="accent3" w:sz="8" w:space="0"/>
          <w:bottom w:val="single" w:color="9BBB59" w:themeColor="accent3" w:sz="8" w:space="0"/>
          <w:right w:val="single" w:color="9BBB59" w:themeColor="accent3" w:sz="8" w:space="0"/>
        </w:tcBorders>
      </w:tcPr>
    </w:tblStylePr>
  </w:style>
  <w:style w:type="table" w:styleId="LightList-Accent4">
    <w:name w:val="Light List Accent 4"/>
    <w:basedOn w:val="TableNormal"/>
    <w:uiPriority w:val="61"/>
    <w:rsid w:val="00cb0664"/>
    <w:pPr>
      <w:spacing w:after="0" w:line="240" w:lineRule="auto"/>
    </w:pPr>
    <w:tblPr>
      <w:tblStyleRowBandSize w:val="1"/>
      <w:tblStyleColBandSize w:val="1"/>
      <w:tblBorders>
        <w:top w:val="single" w:color="8064A2" w:themeColor="accent4" w:sz="8" w:space="0"/>
        <w:left w:val="single" w:color="8064A2" w:themeColor="accent4" w:sz="8" w:space="0"/>
        <w:bottom w:val="single" w:color="8064A2" w:themeColor="accent4" w:sz="8" w:space="0"/>
        <w:right w:val="single" w:color="8064A2" w:themeColor="accent4" w:sz="8" w:space="0"/>
      </w:tblBorders>
      <w:tblCellMar>
        <w:top w:w="0" w:type="dxa"/>
        <w:left w:w="108" w:type="dxa"/>
        <w:bottom w:w="0" w:type="dxa"/>
        <w:right w:w="108" w:type="dxa"/>
      </w:tblCellMar>
    </w:tblPr>
    <w:tblStylePr w:type="firstRow">
      <w:pPr>
        <w:spacing w:before="0" w:after="0" w:line="240" w:lineRule="auto"/>
      </w:pPr>
      <w:rPr>
        <w:b/>
        <w:bCs/>
        <w:color w:themeColor="background1"/>
      </w:rPr>
      <w:tblPr/>
      <w:tcPr>
        <w:shd w:val="clear" w:color="auto" w:fill="8064A2" w:themeFill="accent4"/>
      </w:tcPr>
    </w:tblStylePr>
    <w:tblStylePr w:type="lastRow">
      <w:pPr>
        <w:spacing w:before="0" w:after="0" w:line="240" w:lineRule="auto"/>
      </w:pPr>
      <w:rPr>
        <w:b/>
        <w:bCs/>
      </w:rPr>
      <w:tblPr/>
      <w:tcPr>
        <w:tcBorders>
          <w:top w:val="double" w:color="8064A2" w:themeColor="accent4" w:sz="6" w:space="0"/>
          <w:left w:val="single" w:color="8064A2" w:themeColor="accent4" w:sz="8" w:space="0"/>
          <w:bottom w:val="single" w:color="8064A2" w:themeColor="accent4" w:sz="8" w:space="0"/>
          <w:right w:val="single" w:color="8064A2" w:themeColor="accent4" w:sz="8" w:space="0"/>
        </w:tcBorders>
      </w:tcPr>
    </w:tblStylePr>
    <w:tblStylePr w:type="firstCol">
      <w:rPr>
        <w:b/>
        <w:bCs/>
      </w:rPr>
      <w:tblPr/>
    </w:tblStylePr>
    <w:tblStylePr w:type="lastCol">
      <w:rPr>
        <w:b/>
        <w:bCs/>
      </w:rPr>
      <w:tblPr/>
    </w:tblStylePr>
    <w:tblStylePr w:type="band1Vert">
      <w:tblPr/>
      <w:tcPr>
        <w:tcBorders>
          <w:top w:val="single" w:color="8064A2" w:themeColor="accent4" w:sz="8" w:space="0"/>
          <w:left w:val="single" w:color="8064A2" w:themeColor="accent4" w:sz="8" w:space="0"/>
          <w:bottom w:val="single" w:color="8064A2" w:themeColor="accent4" w:sz="8" w:space="0"/>
          <w:right w:val="single" w:color="8064A2" w:themeColor="accent4" w:sz="8" w:space="0"/>
        </w:tcBorders>
      </w:tcPr>
    </w:tblStylePr>
    <w:tblStylePr w:type="band1Horz">
      <w:tblPr/>
      <w:tcPr>
        <w:tcBorders>
          <w:top w:val="single" w:color="8064A2" w:themeColor="accent4" w:sz="8" w:space="0"/>
          <w:left w:val="single" w:color="8064A2" w:themeColor="accent4" w:sz="8" w:space="0"/>
          <w:bottom w:val="single" w:color="8064A2" w:themeColor="accent4" w:sz="8" w:space="0"/>
          <w:right w:val="single" w:color="8064A2" w:themeColor="accent4" w:sz="8" w:space="0"/>
        </w:tcBorders>
      </w:tcPr>
    </w:tblStylePr>
  </w:style>
  <w:style w:type="table" w:styleId="LightList-Accent5">
    <w:name w:val="Light List Accent 5"/>
    <w:basedOn w:val="TableNormal"/>
    <w:uiPriority w:val="61"/>
    <w:rsid w:val="00cb0664"/>
    <w:pPr>
      <w:spacing w:after="0" w:line="240" w:lineRule="auto"/>
    </w:pPr>
    <w:tblPr>
      <w:tblStyleRowBandSize w:val="1"/>
      <w:tblStyleColBandSize w:val="1"/>
      <w:tblBorders>
        <w:top w:val="single" w:color="4BACC6" w:themeColor="accent5" w:sz="8" w:space="0"/>
        <w:left w:val="single" w:color="4BACC6" w:themeColor="accent5" w:sz="8" w:space="0"/>
        <w:bottom w:val="single" w:color="4BACC6" w:themeColor="accent5" w:sz="8" w:space="0"/>
        <w:right w:val="single" w:color="4BACC6" w:themeColor="accent5" w:sz="8" w:space="0"/>
      </w:tblBorders>
      <w:tblCellMar>
        <w:top w:w="0" w:type="dxa"/>
        <w:left w:w="108" w:type="dxa"/>
        <w:bottom w:w="0" w:type="dxa"/>
        <w:right w:w="108" w:type="dxa"/>
      </w:tblCellMar>
    </w:tblPr>
    <w:tblStylePr w:type="firstRow">
      <w:pPr>
        <w:spacing w:before="0" w:after="0" w:line="240" w:lineRule="auto"/>
      </w:pPr>
      <w:rPr>
        <w:b/>
        <w:bCs/>
        <w:color w:themeColor="background1"/>
      </w:rPr>
      <w:tblPr/>
      <w:tcPr>
        <w:shd w:val="clear" w:color="auto" w:fill="4BACC6" w:themeFill="accent5"/>
      </w:tcPr>
    </w:tblStylePr>
    <w:tblStylePr w:type="lastRow">
      <w:pPr>
        <w:spacing w:before="0" w:after="0" w:line="240" w:lineRule="auto"/>
      </w:pPr>
      <w:rPr>
        <w:b/>
        <w:bCs/>
      </w:rPr>
      <w:tblPr/>
      <w:tcPr>
        <w:tcBorders>
          <w:top w:val="double" w:color="4BACC6" w:themeColor="accent5" w:sz="6" w:space="0"/>
          <w:left w:val="single" w:color="4BACC6" w:themeColor="accent5" w:sz="8" w:space="0"/>
          <w:bottom w:val="single" w:color="4BACC6" w:themeColor="accent5" w:sz="8" w:space="0"/>
          <w:right w:val="single" w:color="4BACC6" w:themeColor="accent5" w:sz="8" w:space="0"/>
        </w:tcBorders>
      </w:tcPr>
    </w:tblStylePr>
    <w:tblStylePr w:type="firstCol">
      <w:rPr>
        <w:b/>
        <w:bCs/>
      </w:rPr>
      <w:tblPr/>
    </w:tblStylePr>
    <w:tblStylePr w:type="lastCol">
      <w:rPr>
        <w:b/>
        <w:bCs/>
      </w:rPr>
      <w:tblPr/>
    </w:tblStylePr>
    <w:tblStylePr w:type="band1Vert">
      <w:tblPr/>
      <w:tcPr>
        <w:tcBorders>
          <w:top w:val="single" w:color="4BACC6" w:themeColor="accent5" w:sz="8" w:space="0"/>
          <w:left w:val="single" w:color="4BACC6" w:themeColor="accent5" w:sz="8" w:space="0"/>
          <w:bottom w:val="single" w:color="4BACC6" w:themeColor="accent5" w:sz="8" w:space="0"/>
          <w:right w:val="single" w:color="4BACC6" w:themeColor="accent5" w:sz="8" w:space="0"/>
        </w:tcBorders>
      </w:tcPr>
    </w:tblStylePr>
    <w:tblStylePr w:type="band1Horz">
      <w:tblPr/>
      <w:tcPr>
        <w:tcBorders>
          <w:top w:val="single" w:color="4BACC6" w:themeColor="accent5" w:sz="8" w:space="0"/>
          <w:left w:val="single" w:color="4BACC6" w:themeColor="accent5" w:sz="8" w:space="0"/>
          <w:bottom w:val="single" w:color="4BACC6" w:themeColor="accent5" w:sz="8" w:space="0"/>
          <w:right w:val="single" w:color="4BACC6" w:themeColor="accent5" w:sz="8" w:space="0"/>
        </w:tcBorders>
      </w:tcPr>
    </w:tblStylePr>
  </w:style>
  <w:style w:type="table" w:styleId="LightList-Accent6">
    <w:name w:val="Light List Accent 6"/>
    <w:basedOn w:val="TableNormal"/>
    <w:uiPriority w:val="61"/>
    <w:rsid w:val="00cb0664"/>
    <w:pPr>
      <w:spacing w:after="0" w:line="240" w:lineRule="auto"/>
    </w:pPr>
    <w:tblPr>
      <w:tblStyleRowBandSize w:val="1"/>
      <w:tblStyleColBandSize w:val="1"/>
      <w:tblBorders>
        <w:top w:val="single" w:color="F79646" w:themeColor="accent6" w:sz="8" w:space="0"/>
        <w:left w:val="single" w:color="F79646" w:themeColor="accent6" w:sz="8" w:space="0"/>
        <w:bottom w:val="single" w:color="F79646" w:themeColor="accent6" w:sz="8" w:space="0"/>
        <w:right w:val="single" w:color="F79646" w:themeColor="accent6" w:sz="8" w:space="0"/>
      </w:tblBorders>
      <w:tblCellMar>
        <w:top w:w="0" w:type="dxa"/>
        <w:left w:w="108" w:type="dxa"/>
        <w:bottom w:w="0" w:type="dxa"/>
        <w:right w:w="108" w:type="dxa"/>
      </w:tblCellMar>
    </w:tblPr>
    <w:tblStylePr w:type="firstRow">
      <w:pPr>
        <w:spacing w:before="0" w:after="0" w:line="240" w:lineRule="auto"/>
      </w:pPr>
      <w:rPr>
        <w:b/>
        <w:bCs/>
        <w:color w:themeColor="background1"/>
      </w:rPr>
      <w:tblPr/>
      <w:tcPr>
        <w:shd w:val="clear" w:color="auto" w:fill="F79646" w:themeFill="accent6"/>
      </w:tcPr>
    </w:tblStylePr>
    <w:tblStylePr w:type="lastRow">
      <w:pPr>
        <w:spacing w:before="0" w:after="0" w:line="240" w:lineRule="auto"/>
      </w:pPr>
      <w:rPr>
        <w:b/>
        <w:bCs/>
      </w:rPr>
      <w:tblPr/>
      <w:tcPr>
        <w:tcBorders>
          <w:top w:val="double" w:color="F79646" w:themeColor="accent6" w:sz="6" w:space="0"/>
          <w:left w:val="single" w:color="F79646" w:themeColor="accent6" w:sz="8" w:space="0"/>
          <w:bottom w:val="single" w:color="F79646" w:themeColor="accent6" w:sz="8" w:space="0"/>
          <w:right w:val="single" w:color="F79646" w:themeColor="accent6" w:sz="8" w:space="0"/>
        </w:tcBorders>
      </w:tcPr>
    </w:tblStylePr>
    <w:tblStylePr w:type="firstCol">
      <w:rPr>
        <w:b/>
        <w:bCs/>
      </w:rPr>
      <w:tblPr/>
    </w:tblStylePr>
    <w:tblStylePr w:type="lastCol">
      <w:rPr>
        <w:b/>
        <w:bCs/>
      </w:rPr>
      <w:tblPr/>
    </w:tblStylePr>
    <w:tblStylePr w:type="band1Vert">
      <w:tblPr/>
      <w:tcPr>
        <w:tcBorders>
          <w:top w:val="single" w:color="F79646" w:themeColor="accent6" w:sz="8" w:space="0"/>
          <w:left w:val="single" w:color="F79646" w:themeColor="accent6" w:sz="8" w:space="0"/>
          <w:bottom w:val="single" w:color="F79646" w:themeColor="accent6" w:sz="8" w:space="0"/>
          <w:right w:val="single" w:color="F79646" w:themeColor="accent6" w:sz="8" w:space="0"/>
        </w:tcBorders>
      </w:tcPr>
    </w:tblStylePr>
    <w:tblStylePr w:type="band1Horz">
      <w:tblPr/>
      <w:tcPr>
        <w:tcBorders>
          <w:top w:val="single" w:color="F79646" w:themeColor="accent6" w:sz="8" w:space="0"/>
          <w:left w:val="single" w:color="F79646" w:themeColor="accent6" w:sz="8" w:space="0"/>
          <w:bottom w:val="single" w:color="F79646" w:themeColor="accent6" w:sz="8" w:space="0"/>
          <w:right w:val="single" w:color="F79646" w:themeColor="accent6" w:sz="8" w:space="0"/>
        </w:tcBorders>
      </w:tcPr>
    </w:tblStylePr>
  </w:style>
  <w:style w:type="table" w:styleId="LightGrid">
    <w:name w:val="Light Grid"/>
    <w:basedOn w:val="TableNormal"/>
    <w:uiPriority w:val="62"/>
    <w:rsid w:val="00cb0664"/>
    <w:pPr>
      <w:spacing w:after="0" w:line="240" w:lineRule="auto"/>
    </w:pPr>
    <w:tblPr>
      <w:tblStyleRowBandSize w:val="1"/>
      <w:tblStyleColBandSize w:val="1"/>
      <w:tblBorders>
        <w:top w:val="single" w:color="000000" w:themeColor="text1" w:sz="8" w:space="0"/>
        <w:left w:val="single" w:color="000000" w:themeColor="text1" w:sz="8" w:space="0"/>
        <w:bottom w:val="single" w:color="000000" w:themeColor="text1" w:sz="8" w:space="0"/>
        <w:right w:val="single" w:color="000000" w:themeColor="text1" w:sz="8" w:space="0"/>
        <w:insideH w:val="single" w:color="000000" w:themeColor="text1" w:sz="8" w:space="0"/>
        <w:insideV w:val="single" w:color="000000" w:themeColor="text1" w:sz="8" w:space="0"/>
      </w:tblBorders>
      <w:tblCellMar>
        <w:top w:w="0" w:type="dxa"/>
        <w:left w:w="108" w:type="dxa"/>
        <w:bottom w:w="0" w:type="dxa"/>
        <w:right w:w="108" w:type="dxa"/>
      </w:tblCellMar>
    </w:tblPr>
    <w:tblStylePr w:type="firstRow">
      <w:pPr>
        <w:spacing w:before="0" w:after="0" w:line="240" w:lineRule="auto"/>
      </w:pPr>
      <w:rPr>
        <w:rFonts w:asciiTheme="majorHAnsi" w:hAnsiTheme="majorHAnsi" w:eastAsiaTheme="majorEastAsia" w:cstheme="majorBidi"/>
        <w:b/>
        <w:bCs/>
      </w:rPr>
      <w:tblPr/>
      <w:tcPr>
        <w:tcBorders>
          <w:top w:val="single" w:color="000000" w:themeColor="text1" w:sz="8" w:space="0"/>
          <w:left w:val="single" w:color="000000" w:themeColor="text1" w:sz="8" w:space="0"/>
          <w:bottom w:val="single" w:color="000000" w:themeColor="text1" w:sz="18" w:space="0"/>
          <w:right w:val="single" w:color="000000" w:themeColor="text1" w:sz="8" w:space="0"/>
          <w:insideH w:val="nil"/>
          <w:insideV w:val="single" w:color="000000" w:themeColor="text1" w:sz="8" w:space="0"/>
        </w:tcBorders>
      </w:tcPr>
    </w:tblStylePr>
    <w:tblStylePr w:type="lastRow">
      <w:pPr>
        <w:spacing w:before="0" w:after="0" w:line="240" w:lineRule="auto"/>
      </w:pPr>
      <w:rPr>
        <w:rFonts w:asciiTheme="majorHAnsi" w:hAnsiTheme="majorHAnsi" w:eastAsiaTheme="majorEastAsia" w:cstheme="majorBidi"/>
        <w:b/>
        <w:bCs/>
      </w:rPr>
      <w:tblPr/>
      <w:tcPr>
        <w:tcBorders>
          <w:top w:val="double" w:color="000000" w:themeColor="text1" w:sz="6" w:space="0"/>
          <w:left w:val="single" w:color="000000" w:themeColor="text1" w:sz="8" w:space="0"/>
          <w:bottom w:val="single" w:color="000000" w:themeColor="text1" w:sz="8" w:space="0"/>
          <w:right w:val="single" w:color="000000" w:themeColor="text1" w:sz="8" w:space="0"/>
          <w:insideH w:val="nil"/>
          <w:insideV w:val="single" w:color="000000" w:themeColor="text1" w:sz="8" w:space="0"/>
        </w:tcBorders>
      </w:tcPr>
    </w:tblStylePr>
    <w:tblStylePr w:type="firstCol">
      <w:rPr>
        <w:rFonts w:asciiTheme="majorHAnsi" w:hAnsiTheme="majorHAnsi" w:eastAsiaTheme="majorEastAsia" w:cstheme="majorBidi"/>
        <w:b/>
        <w:bCs/>
      </w:rPr>
      <w:tblPr/>
    </w:tblStylePr>
    <w:tblStylePr w:type="lastCol">
      <w:rPr>
        <w:rFonts w:asciiTheme="majorHAnsi" w:hAnsiTheme="majorHAnsi" w:eastAsiaTheme="majorEastAsia" w:cstheme="majorBidi"/>
        <w:b/>
        <w:bCs/>
      </w:rPr>
      <w:tblPr/>
      <w:tcPr>
        <w:tcBorders>
          <w:top w:val="single" w:color="000000" w:themeColor="text1" w:sz="8" w:space="0"/>
          <w:left w:val="single" w:color="000000" w:themeColor="text1" w:sz="8" w:space="0"/>
          <w:bottom w:val="single" w:color="000000" w:themeColor="text1" w:sz="8" w:space="0"/>
          <w:right w:val="single" w:color="000000" w:themeColor="text1" w:sz="8" w:space="0"/>
        </w:tcBorders>
      </w:tcPr>
    </w:tblStylePr>
    <w:tblStylePr w:type="band1Vert">
      <w:tblPr/>
      <w:tcPr>
        <w:tcBorders>
          <w:top w:val="single" w:color="000000" w:themeColor="text1" w:sz="8" w:space="0"/>
          <w:left w:val="single" w:color="000000" w:themeColor="text1" w:sz="8" w:space="0"/>
          <w:bottom w:val="single" w:color="000000" w:themeColor="text1" w:sz="8" w:space="0"/>
          <w:right w:val="single" w:color="000000" w:themeColor="text1" w:sz="8" w:space="0"/>
        </w:tcBorders>
        <w:shd w:val="clear" w:color="auto" w:fill="C0C0C0" w:themeFill="text1" w:themeFillTint="3f"/>
      </w:tcPr>
    </w:tblStylePr>
    <w:tblStylePr w:type="band1Horz">
      <w:tblPr/>
      <w:tcPr>
        <w:tcBorders>
          <w:top w:val="single" w:color="000000" w:themeColor="text1" w:sz="8" w:space="0"/>
          <w:left w:val="single" w:color="000000" w:themeColor="text1" w:sz="8" w:space="0"/>
          <w:bottom w:val="single" w:color="000000" w:themeColor="text1" w:sz="8" w:space="0"/>
          <w:right w:val="single" w:color="000000" w:themeColor="text1" w:sz="8" w:space="0"/>
          <w:insideV w:val="single" w:color="000000" w:themeColor="text1" w:sz="8" w:space="0"/>
        </w:tcBorders>
        <w:shd w:val="clear" w:color="auto" w:fill="C0C0C0" w:themeFill="text1" w:themeFillTint="3f"/>
      </w:tcPr>
    </w:tblStylePr>
    <w:tblStylePr w:type="band2Horz">
      <w:tblPr/>
      <w:tcPr>
        <w:tcBorders>
          <w:top w:val="single" w:color="000000" w:themeColor="text1" w:sz="8" w:space="0"/>
          <w:left w:val="single" w:color="000000" w:themeColor="text1" w:sz="8" w:space="0"/>
          <w:bottom w:val="single" w:color="000000" w:themeColor="text1" w:sz="8" w:space="0"/>
          <w:right w:val="single" w:color="000000" w:themeColor="text1" w:sz="8" w:space="0"/>
          <w:insideV w:val="single" w:color="000000" w:themeColor="text1" w:sz="8" w:space="0"/>
        </w:tcBorders>
      </w:tcPr>
    </w:tblStylePr>
  </w:style>
  <w:style w:type="table" w:styleId="LightGrid-Accent1">
    <w:name w:val="Light Grid Accent 1"/>
    <w:basedOn w:val="TableNormal"/>
    <w:uiPriority w:val="62"/>
    <w:rsid w:val="00cb0664"/>
    <w:pPr>
      <w:spacing w:after="0" w:line="240" w:lineRule="auto"/>
    </w:pPr>
    <w:tblPr>
      <w:tblStyleRowBandSize w:val="1"/>
      <w:tblStyleColBandSize w:val="1"/>
      <w:tblBorders>
        <w:top w:val="single" w:color="4F81BD" w:themeColor="accent1" w:sz="8" w:space="0"/>
        <w:left w:val="single" w:color="4F81BD" w:themeColor="accent1" w:sz="8" w:space="0"/>
        <w:bottom w:val="single" w:color="4F81BD" w:themeColor="accent1" w:sz="8" w:space="0"/>
        <w:right w:val="single" w:color="4F81BD" w:themeColor="accent1" w:sz="8" w:space="0"/>
        <w:insideH w:val="single" w:color="4F81BD" w:themeColor="accent1" w:sz="8" w:space="0"/>
        <w:insideV w:val="single" w:color="4F81BD" w:themeColor="accent1" w:sz="8" w:space="0"/>
      </w:tblBorders>
      <w:tblCellMar>
        <w:top w:w="0" w:type="dxa"/>
        <w:left w:w="108" w:type="dxa"/>
        <w:bottom w:w="0" w:type="dxa"/>
        <w:right w:w="108" w:type="dxa"/>
      </w:tblCellMar>
    </w:tblPr>
    <w:tblStylePr w:type="firstRow">
      <w:pPr>
        <w:spacing w:before="0" w:after="0" w:line="240" w:lineRule="auto"/>
      </w:pPr>
      <w:rPr>
        <w:rFonts w:asciiTheme="majorHAnsi" w:hAnsiTheme="majorHAnsi" w:eastAsiaTheme="majorEastAsia" w:cstheme="majorBidi"/>
        <w:b/>
        <w:bCs/>
      </w:rPr>
      <w:tblPr/>
      <w:tcPr>
        <w:tcBorders>
          <w:top w:val="single" w:color="4F81BD" w:themeColor="accent1" w:sz="8" w:space="0"/>
          <w:left w:val="single" w:color="4F81BD" w:themeColor="accent1" w:sz="8" w:space="0"/>
          <w:bottom w:val="single" w:color="4F81BD" w:themeColor="accent1" w:sz="18" w:space="0"/>
          <w:right w:val="single" w:color="4F81BD" w:themeColor="accent1" w:sz="8" w:space="0"/>
          <w:insideH w:val="nil"/>
          <w:insideV w:val="single" w:color="4F81BD" w:themeColor="accent1" w:sz="8" w:space="0"/>
        </w:tcBorders>
      </w:tcPr>
    </w:tblStylePr>
    <w:tblStylePr w:type="lastRow">
      <w:pPr>
        <w:spacing w:before="0" w:after="0" w:line="240" w:lineRule="auto"/>
      </w:pPr>
      <w:rPr>
        <w:rFonts w:asciiTheme="majorHAnsi" w:hAnsiTheme="majorHAnsi" w:eastAsiaTheme="majorEastAsia" w:cstheme="majorBidi"/>
        <w:b/>
        <w:bCs/>
      </w:rPr>
      <w:tblPr/>
      <w:tcPr>
        <w:tcBorders>
          <w:top w:val="double" w:color="4F81BD" w:themeColor="accent1" w:sz="6" w:space="0"/>
          <w:left w:val="single" w:color="4F81BD" w:themeColor="accent1" w:sz="8" w:space="0"/>
          <w:bottom w:val="single" w:color="4F81BD" w:themeColor="accent1" w:sz="8" w:space="0"/>
          <w:right w:val="single" w:color="4F81BD" w:themeColor="accent1" w:sz="8" w:space="0"/>
          <w:insideH w:val="nil"/>
          <w:insideV w:val="single" w:color="4F81BD" w:themeColor="accent1" w:sz="8" w:space="0"/>
        </w:tcBorders>
      </w:tcPr>
    </w:tblStylePr>
    <w:tblStylePr w:type="firstCol">
      <w:rPr>
        <w:rFonts w:asciiTheme="majorHAnsi" w:hAnsiTheme="majorHAnsi" w:eastAsiaTheme="majorEastAsia" w:cstheme="majorBidi"/>
        <w:b/>
        <w:bCs/>
      </w:rPr>
      <w:tblPr/>
    </w:tblStylePr>
    <w:tblStylePr w:type="lastCol">
      <w:rPr>
        <w:rFonts w:asciiTheme="majorHAnsi" w:hAnsiTheme="majorHAnsi" w:eastAsiaTheme="majorEastAsia" w:cstheme="majorBidi"/>
        <w:b/>
        <w:bCs/>
      </w:rPr>
      <w:tblPr/>
      <w:tcPr>
        <w:tcBorders>
          <w:top w:val="single" w:color="4F81BD" w:themeColor="accent1" w:sz="8" w:space="0"/>
          <w:left w:val="single" w:color="4F81BD" w:themeColor="accent1" w:sz="8" w:space="0"/>
          <w:bottom w:val="single" w:color="4F81BD" w:themeColor="accent1" w:sz="8" w:space="0"/>
          <w:right w:val="single" w:color="4F81BD" w:themeColor="accent1" w:sz="8" w:space="0"/>
        </w:tcBorders>
      </w:tcPr>
    </w:tblStylePr>
    <w:tblStylePr w:type="band1Vert">
      <w:tblPr/>
      <w:tcPr>
        <w:tcBorders>
          <w:top w:val="single" w:color="4F81BD" w:themeColor="accent1" w:sz="8" w:space="0"/>
          <w:left w:val="single" w:color="4F81BD" w:themeColor="accent1" w:sz="8" w:space="0"/>
          <w:bottom w:val="single" w:color="4F81BD" w:themeColor="accent1" w:sz="8" w:space="0"/>
          <w:right w:val="single" w:color="4F81BD" w:themeColor="accent1" w:sz="8" w:space="0"/>
        </w:tcBorders>
        <w:shd w:val="clear" w:color="auto" w:fill="D3DFEE" w:themeFill="accent1" w:themeFillTint="3f"/>
      </w:tcPr>
    </w:tblStylePr>
    <w:tblStylePr w:type="band1Horz">
      <w:tblPr/>
      <w:tcPr>
        <w:tcBorders>
          <w:top w:val="single" w:color="4F81BD" w:themeColor="accent1" w:sz="8" w:space="0"/>
          <w:left w:val="single" w:color="4F81BD" w:themeColor="accent1" w:sz="8" w:space="0"/>
          <w:bottom w:val="single" w:color="4F81BD" w:themeColor="accent1" w:sz="8" w:space="0"/>
          <w:right w:val="single" w:color="4F81BD" w:themeColor="accent1" w:sz="8" w:space="0"/>
          <w:insideV w:val="single" w:color="4F81BD" w:themeColor="accent1" w:sz="8" w:space="0"/>
        </w:tcBorders>
        <w:shd w:val="clear" w:color="auto" w:fill="D3DFEE" w:themeFill="accent1" w:themeFillTint="3f"/>
      </w:tcPr>
    </w:tblStylePr>
    <w:tblStylePr w:type="band2Horz">
      <w:tblPr/>
      <w:tcPr>
        <w:tcBorders>
          <w:top w:val="single" w:color="4F81BD" w:themeColor="accent1" w:sz="8" w:space="0"/>
          <w:left w:val="single" w:color="4F81BD" w:themeColor="accent1" w:sz="8" w:space="0"/>
          <w:bottom w:val="single" w:color="4F81BD" w:themeColor="accent1" w:sz="8" w:space="0"/>
          <w:right w:val="single" w:color="4F81BD" w:themeColor="accent1" w:sz="8" w:space="0"/>
          <w:insideV w:val="single" w:color="4F81BD" w:themeColor="accent1" w:sz="8" w:space="0"/>
        </w:tcBorders>
      </w:tcPr>
    </w:tblStylePr>
  </w:style>
  <w:style w:type="table" w:styleId="LightGrid-Accent2">
    <w:name w:val="Light Grid Accent 2"/>
    <w:basedOn w:val="TableNormal"/>
    <w:uiPriority w:val="62"/>
    <w:rsid w:val="00cb0664"/>
    <w:pPr>
      <w:spacing w:after="0" w:line="240" w:lineRule="auto"/>
    </w:pPr>
    <w:tblPr>
      <w:tblStyleRowBandSize w:val="1"/>
      <w:tblStyleColBandSize w:val="1"/>
      <w:tblBorders>
        <w:top w:val="single" w:color="C0504D" w:themeColor="accent2" w:sz="8" w:space="0"/>
        <w:left w:val="single" w:color="C0504D" w:themeColor="accent2" w:sz="8" w:space="0"/>
        <w:bottom w:val="single" w:color="C0504D" w:themeColor="accent2" w:sz="8" w:space="0"/>
        <w:right w:val="single" w:color="C0504D" w:themeColor="accent2" w:sz="8" w:space="0"/>
        <w:insideH w:val="single" w:color="C0504D" w:themeColor="accent2" w:sz="8" w:space="0"/>
        <w:insideV w:val="single" w:color="C0504D" w:themeColor="accent2" w:sz="8" w:space="0"/>
      </w:tblBorders>
      <w:tblCellMar>
        <w:top w:w="0" w:type="dxa"/>
        <w:left w:w="108" w:type="dxa"/>
        <w:bottom w:w="0" w:type="dxa"/>
        <w:right w:w="108" w:type="dxa"/>
      </w:tblCellMar>
    </w:tblPr>
    <w:tblStylePr w:type="firstRow">
      <w:pPr>
        <w:spacing w:before="0" w:after="0" w:line="240" w:lineRule="auto"/>
      </w:pPr>
      <w:rPr>
        <w:rFonts w:asciiTheme="majorHAnsi" w:hAnsiTheme="majorHAnsi" w:eastAsiaTheme="majorEastAsia" w:cstheme="majorBidi"/>
        <w:b/>
        <w:bCs/>
      </w:rPr>
      <w:tblPr/>
      <w:tcPr>
        <w:tcBorders>
          <w:top w:val="single" w:color="C0504D" w:themeColor="accent2" w:sz="8" w:space="0"/>
          <w:left w:val="single" w:color="C0504D" w:themeColor="accent2" w:sz="8" w:space="0"/>
          <w:bottom w:val="single" w:color="C0504D" w:themeColor="accent2" w:sz="18" w:space="0"/>
          <w:right w:val="single" w:color="C0504D" w:themeColor="accent2" w:sz="8" w:space="0"/>
          <w:insideH w:val="nil"/>
          <w:insideV w:val="single" w:color="C0504D" w:themeColor="accent2" w:sz="8" w:space="0"/>
        </w:tcBorders>
      </w:tcPr>
    </w:tblStylePr>
    <w:tblStylePr w:type="lastRow">
      <w:pPr>
        <w:spacing w:before="0" w:after="0" w:line="240" w:lineRule="auto"/>
      </w:pPr>
      <w:rPr>
        <w:rFonts w:asciiTheme="majorHAnsi" w:hAnsiTheme="majorHAnsi" w:eastAsiaTheme="majorEastAsia" w:cstheme="majorBidi"/>
        <w:b/>
        <w:bCs/>
      </w:rPr>
      <w:tblPr/>
      <w:tcPr>
        <w:tcBorders>
          <w:top w:val="double" w:color="C0504D" w:themeColor="accent2" w:sz="6" w:space="0"/>
          <w:left w:val="single" w:color="C0504D" w:themeColor="accent2" w:sz="8" w:space="0"/>
          <w:bottom w:val="single" w:color="C0504D" w:themeColor="accent2" w:sz="8" w:space="0"/>
          <w:right w:val="single" w:color="C0504D" w:themeColor="accent2" w:sz="8" w:space="0"/>
          <w:insideH w:val="nil"/>
          <w:insideV w:val="single" w:color="C0504D" w:themeColor="accent2" w:sz="8" w:space="0"/>
        </w:tcBorders>
      </w:tcPr>
    </w:tblStylePr>
    <w:tblStylePr w:type="firstCol">
      <w:rPr>
        <w:rFonts w:asciiTheme="majorHAnsi" w:hAnsiTheme="majorHAnsi" w:eastAsiaTheme="majorEastAsia" w:cstheme="majorBidi"/>
        <w:b/>
        <w:bCs/>
      </w:rPr>
      <w:tblPr/>
    </w:tblStylePr>
    <w:tblStylePr w:type="lastCol">
      <w:rPr>
        <w:rFonts w:asciiTheme="majorHAnsi" w:hAnsiTheme="majorHAnsi" w:eastAsiaTheme="majorEastAsia" w:cstheme="majorBidi"/>
        <w:b/>
        <w:bCs/>
      </w:rPr>
      <w:tblPr/>
      <w:tcPr>
        <w:tcBorders>
          <w:top w:val="single" w:color="C0504D" w:themeColor="accent2" w:sz="8" w:space="0"/>
          <w:left w:val="single" w:color="C0504D" w:themeColor="accent2" w:sz="8" w:space="0"/>
          <w:bottom w:val="single" w:color="C0504D" w:themeColor="accent2" w:sz="8" w:space="0"/>
          <w:right w:val="single" w:color="C0504D" w:themeColor="accent2" w:sz="8" w:space="0"/>
        </w:tcBorders>
      </w:tcPr>
    </w:tblStylePr>
    <w:tblStylePr w:type="band1Vert">
      <w:tblPr/>
      <w:tcPr>
        <w:tcBorders>
          <w:top w:val="single" w:color="C0504D" w:themeColor="accent2" w:sz="8" w:space="0"/>
          <w:left w:val="single" w:color="C0504D" w:themeColor="accent2" w:sz="8" w:space="0"/>
          <w:bottom w:val="single" w:color="C0504D" w:themeColor="accent2" w:sz="8" w:space="0"/>
          <w:right w:val="single" w:color="C0504D" w:themeColor="accent2" w:sz="8" w:space="0"/>
        </w:tcBorders>
        <w:shd w:val="clear" w:color="auto" w:fill="EFD3D2" w:themeFill="accent2" w:themeFillTint="3f"/>
      </w:tcPr>
    </w:tblStylePr>
    <w:tblStylePr w:type="band1Horz">
      <w:tblPr/>
      <w:tcPr>
        <w:tcBorders>
          <w:top w:val="single" w:color="C0504D" w:themeColor="accent2" w:sz="8" w:space="0"/>
          <w:left w:val="single" w:color="C0504D" w:themeColor="accent2" w:sz="8" w:space="0"/>
          <w:bottom w:val="single" w:color="C0504D" w:themeColor="accent2" w:sz="8" w:space="0"/>
          <w:right w:val="single" w:color="C0504D" w:themeColor="accent2" w:sz="8" w:space="0"/>
          <w:insideV w:val="single" w:color="C0504D" w:themeColor="accent2" w:sz="8" w:space="0"/>
        </w:tcBorders>
        <w:shd w:val="clear" w:color="auto" w:fill="EFD3D2" w:themeFill="accent2" w:themeFillTint="3f"/>
      </w:tcPr>
    </w:tblStylePr>
    <w:tblStylePr w:type="band2Horz">
      <w:tblPr/>
      <w:tcPr>
        <w:tcBorders>
          <w:top w:val="single" w:color="C0504D" w:themeColor="accent2" w:sz="8" w:space="0"/>
          <w:left w:val="single" w:color="C0504D" w:themeColor="accent2" w:sz="8" w:space="0"/>
          <w:bottom w:val="single" w:color="C0504D" w:themeColor="accent2" w:sz="8" w:space="0"/>
          <w:right w:val="single" w:color="C0504D" w:themeColor="accent2" w:sz="8" w:space="0"/>
          <w:insideV w:val="single" w:color="C0504D" w:themeColor="accent2" w:sz="8" w:space="0"/>
        </w:tcBorders>
      </w:tcPr>
    </w:tblStylePr>
  </w:style>
  <w:style w:type="table" w:styleId="LightGrid-Accent3">
    <w:name w:val="Light Grid Accent 3"/>
    <w:basedOn w:val="TableNormal"/>
    <w:uiPriority w:val="62"/>
    <w:rsid w:val="00cb0664"/>
    <w:pPr>
      <w:spacing w:after="0" w:line="240" w:lineRule="auto"/>
    </w:pPr>
    <w:tblPr>
      <w:tblStyleRowBandSize w:val="1"/>
      <w:tblStyleColBandSize w:val="1"/>
      <w:tblBorders>
        <w:top w:val="single" w:color="9BBB59" w:themeColor="accent3" w:sz="8" w:space="0"/>
        <w:left w:val="single" w:color="9BBB59" w:themeColor="accent3" w:sz="8" w:space="0"/>
        <w:bottom w:val="single" w:color="9BBB59" w:themeColor="accent3" w:sz="8" w:space="0"/>
        <w:right w:val="single" w:color="9BBB59" w:themeColor="accent3" w:sz="8" w:space="0"/>
        <w:insideH w:val="single" w:color="9BBB59" w:themeColor="accent3" w:sz="8" w:space="0"/>
        <w:insideV w:val="single" w:color="9BBB59" w:themeColor="accent3" w:sz="8" w:space="0"/>
      </w:tblBorders>
      <w:tblCellMar>
        <w:top w:w="0" w:type="dxa"/>
        <w:left w:w="108" w:type="dxa"/>
        <w:bottom w:w="0" w:type="dxa"/>
        <w:right w:w="108" w:type="dxa"/>
      </w:tblCellMar>
    </w:tblPr>
    <w:tblStylePr w:type="firstRow">
      <w:pPr>
        <w:spacing w:before="0" w:after="0" w:line="240" w:lineRule="auto"/>
      </w:pPr>
      <w:rPr>
        <w:rFonts w:asciiTheme="majorHAnsi" w:hAnsiTheme="majorHAnsi" w:eastAsiaTheme="majorEastAsia" w:cstheme="majorBidi"/>
        <w:b/>
        <w:bCs/>
      </w:rPr>
      <w:tblPr/>
      <w:tcPr>
        <w:tcBorders>
          <w:top w:val="single" w:color="9BBB59" w:themeColor="accent3" w:sz="8" w:space="0"/>
          <w:left w:val="single" w:color="9BBB59" w:themeColor="accent3" w:sz="8" w:space="0"/>
          <w:bottom w:val="single" w:color="9BBB59" w:themeColor="accent3" w:sz="18" w:space="0"/>
          <w:right w:val="single" w:color="9BBB59" w:themeColor="accent3" w:sz="8" w:space="0"/>
          <w:insideH w:val="nil"/>
          <w:insideV w:val="single" w:color="9BBB59" w:themeColor="accent3" w:sz="8" w:space="0"/>
        </w:tcBorders>
      </w:tcPr>
    </w:tblStylePr>
    <w:tblStylePr w:type="lastRow">
      <w:pPr>
        <w:spacing w:before="0" w:after="0" w:line="240" w:lineRule="auto"/>
      </w:pPr>
      <w:rPr>
        <w:rFonts w:asciiTheme="majorHAnsi" w:hAnsiTheme="majorHAnsi" w:eastAsiaTheme="majorEastAsia" w:cstheme="majorBidi"/>
        <w:b/>
        <w:bCs/>
      </w:rPr>
      <w:tblPr/>
      <w:tcPr>
        <w:tcBorders>
          <w:top w:val="double" w:color="9BBB59" w:themeColor="accent3" w:sz="6" w:space="0"/>
          <w:left w:val="single" w:color="9BBB59" w:themeColor="accent3" w:sz="8" w:space="0"/>
          <w:bottom w:val="single" w:color="9BBB59" w:themeColor="accent3" w:sz="8" w:space="0"/>
          <w:right w:val="single" w:color="9BBB59" w:themeColor="accent3" w:sz="8" w:space="0"/>
          <w:insideH w:val="nil"/>
          <w:insideV w:val="single" w:color="9BBB59" w:themeColor="accent3" w:sz="8" w:space="0"/>
        </w:tcBorders>
      </w:tcPr>
    </w:tblStylePr>
    <w:tblStylePr w:type="firstCol">
      <w:rPr>
        <w:rFonts w:asciiTheme="majorHAnsi" w:hAnsiTheme="majorHAnsi" w:eastAsiaTheme="majorEastAsia" w:cstheme="majorBidi"/>
        <w:b/>
        <w:bCs/>
      </w:rPr>
      <w:tblPr/>
    </w:tblStylePr>
    <w:tblStylePr w:type="lastCol">
      <w:rPr>
        <w:rFonts w:asciiTheme="majorHAnsi" w:hAnsiTheme="majorHAnsi" w:eastAsiaTheme="majorEastAsia" w:cstheme="majorBidi"/>
        <w:b/>
        <w:bCs/>
      </w:rPr>
      <w:tblPr/>
      <w:tcPr>
        <w:tcBorders>
          <w:top w:val="single" w:color="9BBB59" w:themeColor="accent3" w:sz="8" w:space="0"/>
          <w:left w:val="single" w:color="9BBB59" w:themeColor="accent3" w:sz="8" w:space="0"/>
          <w:bottom w:val="single" w:color="9BBB59" w:themeColor="accent3" w:sz="8" w:space="0"/>
          <w:right w:val="single" w:color="9BBB59" w:themeColor="accent3" w:sz="8" w:space="0"/>
        </w:tcBorders>
      </w:tcPr>
    </w:tblStylePr>
    <w:tblStylePr w:type="band1Vert">
      <w:tblPr/>
      <w:tcPr>
        <w:tcBorders>
          <w:top w:val="single" w:color="9BBB59" w:themeColor="accent3" w:sz="8" w:space="0"/>
          <w:left w:val="single" w:color="9BBB59" w:themeColor="accent3" w:sz="8" w:space="0"/>
          <w:bottom w:val="single" w:color="9BBB59" w:themeColor="accent3" w:sz="8" w:space="0"/>
          <w:right w:val="single" w:color="9BBB59" w:themeColor="accent3" w:sz="8" w:space="0"/>
        </w:tcBorders>
        <w:shd w:val="clear" w:color="auto" w:fill="E6EED5" w:themeFill="accent3" w:themeFillTint="3f"/>
      </w:tcPr>
    </w:tblStylePr>
    <w:tblStylePr w:type="band1Horz">
      <w:tblPr/>
      <w:tcPr>
        <w:tcBorders>
          <w:top w:val="single" w:color="9BBB59" w:themeColor="accent3" w:sz="8" w:space="0"/>
          <w:left w:val="single" w:color="9BBB59" w:themeColor="accent3" w:sz="8" w:space="0"/>
          <w:bottom w:val="single" w:color="9BBB59" w:themeColor="accent3" w:sz="8" w:space="0"/>
          <w:right w:val="single" w:color="9BBB59" w:themeColor="accent3" w:sz="8" w:space="0"/>
          <w:insideV w:val="single" w:color="9BBB59" w:themeColor="accent3" w:sz="8" w:space="0"/>
        </w:tcBorders>
        <w:shd w:val="clear" w:color="auto" w:fill="E6EED5" w:themeFill="accent3" w:themeFillTint="3f"/>
      </w:tcPr>
    </w:tblStylePr>
    <w:tblStylePr w:type="band2Horz">
      <w:tblPr/>
      <w:tcPr>
        <w:tcBorders>
          <w:top w:val="single" w:color="9BBB59" w:themeColor="accent3" w:sz="8" w:space="0"/>
          <w:left w:val="single" w:color="9BBB59" w:themeColor="accent3" w:sz="8" w:space="0"/>
          <w:bottom w:val="single" w:color="9BBB59" w:themeColor="accent3" w:sz="8" w:space="0"/>
          <w:right w:val="single" w:color="9BBB59" w:themeColor="accent3" w:sz="8" w:space="0"/>
          <w:insideV w:val="single" w:color="9BBB59" w:themeColor="accent3" w:sz="8" w:space="0"/>
        </w:tcBorders>
      </w:tcPr>
    </w:tblStylePr>
  </w:style>
  <w:style w:type="table" w:styleId="LightGrid-Accent4">
    <w:name w:val="Light Grid Accent 4"/>
    <w:basedOn w:val="TableNormal"/>
    <w:uiPriority w:val="62"/>
    <w:rsid w:val="00cb0664"/>
    <w:pPr>
      <w:spacing w:after="0" w:line="240" w:lineRule="auto"/>
    </w:pPr>
    <w:tblPr>
      <w:tblStyleRowBandSize w:val="1"/>
      <w:tblStyleColBandSize w:val="1"/>
      <w:tblBorders>
        <w:top w:val="single" w:color="8064A2" w:themeColor="accent4" w:sz="8" w:space="0"/>
        <w:left w:val="single" w:color="8064A2" w:themeColor="accent4" w:sz="8" w:space="0"/>
        <w:bottom w:val="single" w:color="8064A2" w:themeColor="accent4" w:sz="8" w:space="0"/>
        <w:right w:val="single" w:color="8064A2" w:themeColor="accent4" w:sz="8" w:space="0"/>
        <w:insideH w:val="single" w:color="8064A2" w:themeColor="accent4" w:sz="8" w:space="0"/>
        <w:insideV w:val="single" w:color="8064A2" w:themeColor="accent4" w:sz="8" w:space="0"/>
      </w:tblBorders>
      <w:tblCellMar>
        <w:top w:w="0" w:type="dxa"/>
        <w:left w:w="108" w:type="dxa"/>
        <w:bottom w:w="0" w:type="dxa"/>
        <w:right w:w="108" w:type="dxa"/>
      </w:tblCellMar>
    </w:tblPr>
    <w:tblStylePr w:type="firstRow">
      <w:pPr>
        <w:spacing w:before="0" w:after="0" w:line="240" w:lineRule="auto"/>
      </w:pPr>
      <w:rPr>
        <w:rFonts w:asciiTheme="majorHAnsi" w:hAnsiTheme="majorHAnsi" w:eastAsiaTheme="majorEastAsia" w:cstheme="majorBidi"/>
        <w:b/>
        <w:bCs/>
      </w:rPr>
      <w:tblPr/>
      <w:tcPr>
        <w:tcBorders>
          <w:top w:val="single" w:color="8064A2" w:themeColor="accent4" w:sz="8" w:space="0"/>
          <w:left w:val="single" w:color="8064A2" w:themeColor="accent4" w:sz="8" w:space="0"/>
          <w:bottom w:val="single" w:color="8064A2" w:themeColor="accent4" w:sz="18" w:space="0"/>
          <w:right w:val="single" w:color="8064A2" w:themeColor="accent4" w:sz="8" w:space="0"/>
          <w:insideH w:val="nil"/>
          <w:insideV w:val="single" w:color="8064A2" w:themeColor="accent4" w:sz="8" w:space="0"/>
        </w:tcBorders>
      </w:tcPr>
    </w:tblStylePr>
    <w:tblStylePr w:type="lastRow">
      <w:pPr>
        <w:spacing w:before="0" w:after="0" w:line="240" w:lineRule="auto"/>
      </w:pPr>
      <w:rPr>
        <w:rFonts w:asciiTheme="majorHAnsi" w:hAnsiTheme="majorHAnsi" w:eastAsiaTheme="majorEastAsia" w:cstheme="majorBidi"/>
        <w:b/>
        <w:bCs/>
      </w:rPr>
      <w:tblPr/>
      <w:tcPr>
        <w:tcBorders>
          <w:top w:val="double" w:color="8064A2" w:themeColor="accent4" w:sz="6" w:space="0"/>
          <w:left w:val="single" w:color="8064A2" w:themeColor="accent4" w:sz="8" w:space="0"/>
          <w:bottom w:val="single" w:color="8064A2" w:themeColor="accent4" w:sz="8" w:space="0"/>
          <w:right w:val="single" w:color="8064A2" w:themeColor="accent4" w:sz="8" w:space="0"/>
          <w:insideH w:val="nil"/>
          <w:insideV w:val="single" w:color="8064A2" w:themeColor="accent4" w:sz="8" w:space="0"/>
        </w:tcBorders>
      </w:tcPr>
    </w:tblStylePr>
    <w:tblStylePr w:type="firstCol">
      <w:rPr>
        <w:rFonts w:asciiTheme="majorHAnsi" w:hAnsiTheme="majorHAnsi" w:eastAsiaTheme="majorEastAsia" w:cstheme="majorBidi"/>
        <w:b/>
        <w:bCs/>
      </w:rPr>
      <w:tblPr/>
    </w:tblStylePr>
    <w:tblStylePr w:type="lastCol">
      <w:rPr>
        <w:rFonts w:asciiTheme="majorHAnsi" w:hAnsiTheme="majorHAnsi" w:eastAsiaTheme="majorEastAsia" w:cstheme="majorBidi"/>
        <w:b/>
        <w:bCs/>
      </w:rPr>
      <w:tblPr/>
      <w:tcPr>
        <w:tcBorders>
          <w:top w:val="single" w:color="8064A2" w:themeColor="accent4" w:sz="8" w:space="0"/>
          <w:left w:val="single" w:color="8064A2" w:themeColor="accent4" w:sz="8" w:space="0"/>
          <w:bottom w:val="single" w:color="8064A2" w:themeColor="accent4" w:sz="8" w:space="0"/>
          <w:right w:val="single" w:color="8064A2" w:themeColor="accent4" w:sz="8" w:space="0"/>
        </w:tcBorders>
      </w:tcPr>
    </w:tblStylePr>
    <w:tblStylePr w:type="band1Vert">
      <w:tblPr/>
      <w:tcPr>
        <w:tcBorders>
          <w:top w:val="single" w:color="8064A2" w:themeColor="accent4" w:sz="8" w:space="0"/>
          <w:left w:val="single" w:color="8064A2" w:themeColor="accent4" w:sz="8" w:space="0"/>
          <w:bottom w:val="single" w:color="8064A2" w:themeColor="accent4" w:sz="8" w:space="0"/>
          <w:right w:val="single" w:color="8064A2" w:themeColor="accent4" w:sz="8" w:space="0"/>
        </w:tcBorders>
        <w:shd w:val="clear" w:color="auto" w:fill="DFD8E8" w:themeFill="accent4" w:themeFillTint="3f"/>
      </w:tcPr>
    </w:tblStylePr>
    <w:tblStylePr w:type="band1Horz">
      <w:tblPr/>
      <w:tcPr>
        <w:tcBorders>
          <w:top w:val="single" w:color="8064A2" w:themeColor="accent4" w:sz="8" w:space="0"/>
          <w:left w:val="single" w:color="8064A2" w:themeColor="accent4" w:sz="8" w:space="0"/>
          <w:bottom w:val="single" w:color="8064A2" w:themeColor="accent4" w:sz="8" w:space="0"/>
          <w:right w:val="single" w:color="8064A2" w:themeColor="accent4" w:sz="8" w:space="0"/>
          <w:insideV w:val="single" w:color="8064A2" w:themeColor="accent4" w:sz="8" w:space="0"/>
        </w:tcBorders>
        <w:shd w:val="clear" w:color="auto" w:fill="DFD8E8" w:themeFill="accent4" w:themeFillTint="3f"/>
      </w:tcPr>
    </w:tblStylePr>
    <w:tblStylePr w:type="band2Horz">
      <w:tblPr/>
      <w:tcPr>
        <w:tcBorders>
          <w:top w:val="single" w:color="8064A2" w:themeColor="accent4" w:sz="8" w:space="0"/>
          <w:left w:val="single" w:color="8064A2" w:themeColor="accent4" w:sz="8" w:space="0"/>
          <w:bottom w:val="single" w:color="8064A2" w:themeColor="accent4" w:sz="8" w:space="0"/>
          <w:right w:val="single" w:color="8064A2" w:themeColor="accent4" w:sz="8" w:space="0"/>
          <w:insideV w:val="single" w:color="8064A2" w:themeColor="accent4" w:sz="8" w:space="0"/>
        </w:tcBorders>
      </w:tcPr>
    </w:tblStylePr>
  </w:style>
  <w:style w:type="table" w:styleId="LightGrid-Accent5">
    <w:name w:val="Light Grid Accent 5"/>
    <w:basedOn w:val="TableNormal"/>
    <w:uiPriority w:val="62"/>
    <w:rsid w:val="00cb0664"/>
    <w:pPr>
      <w:spacing w:after="0" w:line="240" w:lineRule="auto"/>
    </w:pPr>
    <w:tblPr>
      <w:tblStyleRowBandSize w:val="1"/>
      <w:tblStyleColBandSize w:val="1"/>
      <w:tblBorders>
        <w:top w:val="single" w:color="4BACC6" w:themeColor="accent5" w:sz="8" w:space="0"/>
        <w:left w:val="single" w:color="4BACC6" w:themeColor="accent5" w:sz="8" w:space="0"/>
        <w:bottom w:val="single" w:color="4BACC6" w:themeColor="accent5" w:sz="8" w:space="0"/>
        <w:right w:val="single" w:color="4BACC6" w:themeColor="accent5" w:sz="8" w:space="0"/>
        <w:insideH w:val="single" w:color="4BACC6" w:themeColor="accent5" w:sz="8" w:space="0"/>
        <w:insideV w:val="single" w:color="4BACC6" w:themeColor="accent5" w:sz="8" w:space="0"/>
      </w:tblBorders>
      <w:tblCellMar>
        <w:top w:w="0" w:type="dxa"/>
        <w:left w:w="108" w:type="dxa"/>
        <w:bottom w:w="0" w:type="dxa"/>
        <w:right w:w="108" w:type="dxa"/>
      </w:tblCellMar>
    </w:tblPr>
    <w:tblStylePr w:type="firstRow">
      <w:pPr>
        <w:spacing w:before="0" w:after="0" w:line="240" w:lineRule="auto"/>
      </w:pPr>
      <w:rPr>
        <w:rFonts w:asciiTheme="majorHAnsi" w:hAnsiTheme="majorHAnsi" w:eastAsiaTheme="majorEastAsia" w:cstheme="majorBidi"/>
        <w:b/>
        <w:bCs/>
      </w:rPr>
      <w:tblPr/>
      <w:tcPr>
        <w:tcBorders>
          <w:top w:val="single" w:color="4BACC6" w:themeColor="accent5" w:sz="8" w:space="0"/>
          <w:left w:val="single" w:color="4BACC6" w:themeColor="accent5" w:sz="8" w:space="0"/>
          <w:bottom w:val="single" w:color="4BACC6" w:themeColor="accent5" w:sz="18" w:space="0"/>
          <w:right w:val="single" w:color="4BACC6" w:themeColor="accent5" w:sz="8" w:space="0"/>
          <w:insideH w:val="nil"/>
          <w:insideV w:val="single" w:color="4BACC6" w:themeColor="accent5" w:sz="8" w:space="0"/>
        </w:tcBorders>
      </w:tcPr>
    </w:tblStylePr>
    <w:tblStylePr w:type="lastRow">
      <w:pPr>
        <w:spacing w:before="0" w:after="0" w:line="240" w:lineRule="auto"/>
      </w:pPr>
      <w:rPr>
        <w:rFonts w:asciiTheme="majorHAnsi" w:hAnsiTheme="majorHAnsi" w:eastAsiaTheme="majorEastAsia" w:cstheme="majorBidi"/>
        <w:b/>
        <w:bCs/>
      </w:rPr>
      <w:tblPr/>
      <w:tcPr>
        <w:tcBorders>
          <w:top w:val="double" w:color="4BACC6" w:themeColor="accent5" w:sz="6" w:space="0"/>
          <w:left w:val="single" w:color="4BACC6" w:themeColor="accent5" w:sz="8" w:space="0"/>
          <w:bottom w:val="single" w:color="4BACC6" w:themeColor="accent5" w:sz="8" w:space="0"/>
          <w:right w:val="single" w:color="4BACC6" w:themeColor="accent5" w:sz="8" w:space="0"/>
          <w:insideH w:val="nil"/>
          <w:insideV w:val="single" w:color="4BACC6" w:themeColor="accent5" w:sz="8" w:space="0"/>
        </w:tcBorders>
      </w:tcPr>
    </w:tblStylePr>
    <w:tblStylePr w:type="firstCol">
      <w:rPr>
        <w:rFonts w:asciiTheme="majorHAnsi" w:hAnsiTheme="majorHAnsi" w:eastAsiaTheme="majorEastAsia" w:cstheme="majorBidi"/>
        <w:b/>
        <w:bCs/>
      </w:rPr>
      <w:tblPr/>
    </w:tblStylePr>
    <w:tblStylePr w:type="lastCol">
      <w:rPr>
        <w:rFonts w:asciiTheme="majorHAnsi" w:hAnsiTheme="majorHAnsi" w:eastAsiaTheme="majorEastAsia" w:cstheme="majorBidi"/>
        <w:b/>
        <w:bCs/>
      </w:rPr>
      <w:tblPr/>
      <w:tcPr>
        <w:tcBorders>
          <w:top w:val="single" w:color="4BACC6" w:themeColor="accent5" w:sz="8" w:space="0"/>
          <w:left w:val="single" w:color="4BACC6" w:themeColor="accent5" w:sz="8" w:space="0"/>
          <w:bottom w:val="single" w:color="4BACC6" w:themeColor="accent5" w:sz="8" w:space="0"/>
          <w:right w:val="single" w:color="4BACC6" w:themeColor="accent5" w:sz="8" w:space="0"/>
        </w:tcBorders>
      </w:tcPr>
    </w:tblStylePr>
    <w:tblStylePr w:type="band1Vert">
      <w:tblPr/>
      <w:tcPr>
        <w:tcBorders>
          <w:top w:val="single" w:color="4BACC6" w:themeColor="accent5" w:sz="8" w:space="0"/>
          <w:left w:val="single" w:color="4BACC6" w:themeColor="accent5" w:sz="8" w:space="0"/>
          <w:bottom w:val="single" w:color="4BACC6" w:themeColor="accent5" w:sz="8" w:space="0"/>
          <w:right w:val="single" w:color="4BACC6" w:themeColor="accent5" w:sz="8" w:space="0"/>
        </w:tcBorders>
        <w:shd w:val="clear" w:color="auto" w:fill="D2EAF1" w:themeFill="accent5" w:themeFillTint="3f"/>
      </w:tcPr>
    </w:tblStylePr>
    <w:tblStylePr w:type="band1Horz">
      <w:tblPr/>
      <w:tcPr>
        <w:tcBorders>
          <w:top w:val="single" w:color="4BACC6" w:themeColor="accent5" w:sz="8" w:space="0"/>
          <w:left w:val="single" w:color="4BACC6" w:themeColor="accent5" w:sz="8" w:space="0"/>
          <w:bottom w:val="single" w:color="4BACC6" w:themeColor="accent5" w:sz="8" w:space="0"/>
          <w:right w:val="single" w:color="4BACC6" w:themeColor="accent5" w:sz="8" w:space="0"/>
          <w:insideV w:val="single" w:color="4BACC6" w:themeColor="accent5" w:sz="8" w:space="0"/>
        </w:tcBorders>
        <w:shd w:val="clear" w:color="auto" w:fill="D2EAF1" w:themeFill="accent5" w:themeFillTint="3f"/>
      </w:tcPr>
    </w:tblStylePr>
    <w:tblStylePr w:type="band2Horz">
      <w:tblPr/>
      <w:tcPr>
        <w:tcBorders>
          <w:top w:val="single" w:color="4BACC6" w:themeColor="accent5" w:sz="8" w:space="0"/>
          <w:left w:val="single" w:color="4BACC6" w:themeColor="accent5" w:sz="8" w:space="0"/>
          <w:bottom w:val="single" w:color="4BACC6" w:themeColor="accent5" w:sz="8" w:space="0"/>
          <w:right w:val="single" w:color="4BACC6" w:themeColor="accent5" w:sz="8" w:space="0"/>
          <w:insideV w:val="single" w:color="4BACC6" w:themeColor="accent5" w:sz="8" w:space="0"/>
        </w:tcBorders>
      </w:tcPr>
    </w:tblStylePr>
  </w:style>
  <w:style w:type="table" w:styleId="LightGrid-Accent6">
    <w:name w:val="Light Grid Accent 6"/>
    <w:basedOn w:val="TableNormal"/>
    <w:uiPriority w:val="62"/>
    <w:rsid w:val="00cb0664"/>
    <w:pPr>
      <w:spacing w:after="0" w:line="240" w:lineRule="auto"/>
    </w:pPr>
    <w:tblPr>
      <w:tblStyleRowBandSize w:val="1"/>
      <w:tblStyleColBandSize w:val="1"/>
      <w:tblBorders>
        <w:top w:val="single" w:color="F79646" w:themeColor="accent6" w:sz="8" w:space="0"/>
        <w:left w:val="single" w:color="F79646" w:themeColor="accent6" w:sz="8" w:space="0"/>
        <w:bottom w:val="single" w:color="F79646" w:themeColor="accent6" w:sz="8" w:space="0"/>
        <w:right w:val="single" w:color="F79646" w:themeColor="accent6" w:sz="8" w:space="0"/>
        <w:insideH w:val="single" w:color="F79646" w:themeColor="accent6" w:sz="8" w:space="0"/>
        <w:insideV w:val="single" w:color="F79646" w:themeColor="accent6" w:sz="8" w:space="0"/>
      </w:tblBorders>
      <w:tblCellMar>
        <w:top w:w="0" w:type="dxa"/>
        <w:left w:w="108" w:type="dxa"/>
        <w:bottom w:w="0" w:type="dxa"/>
        <w:right w:w="108" w:type="dxa"/>
      </w:tblCellMar>
    </w:tblPr>
    <w:tblStylePr w:type="firstRow">
      <w:pPr>
        <w:spacing w:before="0" w:after="0" w:line="240" w:lineRule="auto"/>
      </w:pPr>
      <w:rPr>
        <w:rFonts w:asciiTheme="majorHAnsi" w:hAnsiTheme="majorHAnsi" w:eastAsiaTheme="majorEastAsia" w:cstheme="majorBidi"/>
        <w:b/>
        <w:bCs/>
      </w:rPr>
      <w:tblPr/>
      <w:tcPr>
        <w:tcBorders>
          <w:top w:val="single" w:color="F79646" w:themeColor="accent6" w:sz="8" w:space="0"/>
          <w:left w:val="single" w:color="F79646" w:themeColor="accent6" w:sz="8" w:space="0"/>
          <w:bottom w:val="single" w:color="F79646" w:themeColor="accent6" w:sz="18" w:space="0"/>
          <w:right w:val="single" w:color="F79646" w:themeColor="accent6" w:sz="8" w:space="0"/>
          <w:insideH w:val="nil"/>
          <w:insideV w:val="single" w:color="F79646" w:themeColor="accent6" w:sz="8" w:space="0"/>
        </w:tcBorders>
      </w:tcPr>
    </w:tblStylePr>
    <w:tblStylePr w:type="lastRow">
      <w:pPr>
        <w:spacing w:before="0" w:after="0" w:line="240" w:lineRule="auto"/>
      </w:pPr>
      <w:rPr>
        <w:rFonts w:asciiTheme="majorHAnsi" w:hAnsiTheme="majorHAnsi" w:eastAsiaTheme="majorEastAsia" w:cstheme="majorBidi"/>
        <w:b/>
        <w:bCs/>
      </w:rPr>
      <w:tblPr/>
      <w:tcPr>
        <w:tcBorders>
          <w:top w:val="double" w:color="F79646" w:themeColor="accent6" w:sz="6" w:space="0"/>
          <w:left w:val="single" w:color="F79646" w:themeColor="accent6" w:sz="8" w:space="0"/>
          <w:bottom w:val="single" w:color="F79646" w:themeColor="accent6" w:sz="8" w:space="0"/>
          <w:right w:val="single" w:color="F79646" w:themeColor="accent6" w:sz="8" w:space="0"/>
          <w:insideH w:val="nil"/>
          <w:insideV w:val="single" w:color="F79646" w:themeColor="accent6" w:sz="8" w:space="0"/>
        </w:tcBorders>
      </w:tcPr>
    </w:tblStylePr>
    <w:tblStylePr w:type="firstCol">
      <w:rPr>
        <w:rFonts w:asciiTheme="majorHAnsi" w:hAnsiTheme="majorHAnsi" w:eastAsiaTheme="majorEastAsia" w:cstheme="majorBidi"/>
        <w:b/>
        <w:bCs/>
      </w:rPr>
      <w:tblPr/>
    </w:tblStylePr>
    <w:tblStylePr w:type="lastCol">
      <w:rPr>
        <w:rFonts w:asciiTheme="majorHAnsi" w:hAnsiTheme="majorHAnsi" w:eastAsiaTheme="majorEastAsia" w:cstheme="majorBidi"/>
        <w:b/>
        <w:bCs/>
      </w:rPr>
      <w:tblPr/>
      <w:tcPr>
        <w:tcBorders>
          <w:top w:val="single" w:color="F79646" w:themeColor="accent6" w:sz="8" w:space="0"/>
          <w:left w:val="single" w:color="F79646" w:themeColor="accent6" w:sz="8" w:space="0"/>
          <w:bottom w:val="single" w:color="F79646" w:themeColor="accent6" w:sz="8" w:space="0"/>
          <w:right w:val="single" w:color="F79646" w:themeColor="accent6" w:sz="8" w:space="0"/>
        </w:tcBorders>
      </w:tcPr>
    </w:tblStylePr>
    <w:tblStylePr w:type="band1Vert">
      <w:tblPr/>
      <w:tcPr>
        <w:tcBorders>
          <w:top w:val="single" w:color="F79646" w:themeColor="accent6" w:sz="8" w:space="0"/>
          <w:left w:val="single" w:color="F79646" w:themeColor="accent6" w:sz="8" w:space="0"/>
          <w:bottom w:val="single" w:color="F79646" w:themeColor="accent6" w:sz="8" w:space="0"/>
          <w:right w:val="single" w:color="F79646" w:themeColor="accent6" w:sz="8" w:space="0"/>
        </w:tcBorders>
        <w:shd w:val="clear" w:color="auto" w:fill="FDE4D0" w:themeFill="accent6" w:themeFillTint="3f"/>
      </w:tcPr>
    </w:tblStylePr>
    <w:tblStylePr w:type="band1Horz">
      <w:tblPr/>
      <w:tcPr>
        <w:tcBorders>
          <w:top w:val="single" w:color="F79646" w:themeColor="accent6" w:sz="8" w:space="0"/>
          <w:left w:val="single" w:color="F79646" w:themeColor="accent6" w:sz="8" w:space="0"/>
          <w:bottom w:val="single" w:color="F79646" w:themeColor="accent6" w:sz="8" w:space="0"/>
          <w:right w:val="single" w:color="F79646" w:themeColor="accent6" w:sz="8" w:space="0"/>
          <w:insideV w:val="single" w:color="F79646" w:themeColor="accent6" w:sz="8" w:space="0"/>
        </w:tcBorders>
        <w:shd w:val="clear" w:color="auto" w:fill="FDE4D0" w:themeFill="accent6" w:themeFillTint="3f"/>
      </w:tcPr>
    </w:tblStylePr>
    <w:tblStylePr w:type="band2Horz">
      <w:tblPr/>
      <w:tcPr>
        <w:tcBorders>
          <w:top w:val="single" w:color="F79646" w:themeColor="accent6" w:sz="8" w:space="0"/>
          <w:left w:val="single" w:color="F79646" w:themeColor="accent6" w:sz="8" w:space="0"/>
          <w:bottom w:val="single" w:color="F79646" w:themeColor="accent6" w:sz="8" w:space="0"/>
          <w:right w:val="single" w:color="F79646" w:themeColor="accent6" w:sz="8" w:space="0"/>
          <w:insideV w:val="single" w:color="F79646" w:themeColor="accent6" w:sz="8" w:space="0"/>
        </w:tcBorders>
      </w:tcPr>
    </w:tblStylePr>
  </w:style>
  <w:style w:type="table" w:styleId="MediumShading1">
    <w:name w:val="Medium Shading 1"/>
    <w:basedOn w:val="TableNormal"/>
    <w:uiPriority w:val="63"/>
    <w:rsid w:val="00cb0664"/>
    <w:pPr>
      <w:spacing w:after="0" w:line="240" w:lineRule="auto"/>
    </w:pPr>
    <w:tblPr>
      <w:tblStyleRowBandSize w:val="1"/>
      <w:tblStyleColBandSize w:val="1"/>
      <w:tblBorders>
        <w:top w:val="single" w:color="404040" w:themeColor="text1" w:themeTint="bf" w:sz="8" w:space="0"/>
        <w:left w:val="single" w:color="404040" w:themeColor="text1" w:themeTint="bf" w:sz="8" w:space="0"/>
        <w:bottom w:val="single" w:color="404040" w:themeColor="text1" w:themeTint="bf" w:sz="8" w:space="0"/>
        <w:right w:val="single" w:color="404040" w:themeColor="text1" w:themeTint="bf" w:sz="8" w:space="0"/>
        <w:insideH w:val="single" w:color="404040" w:themeColor="text1" w:themeTint="bf" w:sz="8" w:space="0"/>
      </w:tblBorders>
      <w:tblCellMar>
        <w:top w:w="0" w:type="dxa"/>
        <w:left w:w="108" w:type="dxa"/>
        <w:bottom w:w="0" w:type="dxa"/>
        <w:right w:w="108" w:type="dxa"/>
      </w:tblCellMar>
    </w:tblPr>
    <w:tblStylePr w:type="firstRow">
      <w:pPr>
        <w:spacing w:before="0" w:after="0" w:line="240" w:lineRule="auto"/>
      </w:pPr>
      <w:rPr>
        <w:b/>
        <w:bCs/>
        <w:color w:themeColor="background1"/>
      </w:rPr>
      <w:tblPr/>
      <w:tcPr>
        <w:tcBorders>
          <w:top w:val="single" w:color="404040" w:themeColor="text1" w:sz="8" w:space="0"/>
          <w:left w:val="single" w:color="404040" w:themeColor="text1" w:sz="8" w:space="0"/>
          <w:bottom w:val="single" w:color="404040" w:themeColor="text1" w:sz="8" w:space="0"/>
          <w:right w:val="single" w:color="404040" w:themeColor="text1" w:sz="8" w:space="0"/>
          <w:insideH w:val="nil"/>
          <w:insideV w:val="nil"/>
        </w:tcBorders>
        <w:shd w:val="clear" w:color="auto" w:fill="000000" w:themeFill="text1"/>
      </w:tcPr>
    </w:tblStylePr>
    <w:tblStylePr w:type="lastRow">
      <w:pPr>
        <w:spacing w:before="0" w:after="0" w:line="240" w:lineRule="auto"/>
      </w:pPr>
      <w:rPr>
        <w:b/>
        <w:bCs/>
      </w:rPr>
      <w:tblPr/>
      <w:tcPr>
        <w:tcBorders>
          <w:top w:val="double" w:color="404040" w:themeColor="text1" w:sz="6" w:space="0"/>
          <w:left w:val="single" w:color="404040" w:themeColor="text1" w:sz="8" w:space="0"/>
          <w:bottom w:val="single" w:color="404040" w:themeColor="text1" w:sz="8" w:space="0"/>
          <w:right w:val="single" w:color="404040" w:themeColor="text1" w:sz="8" w:space="0"/>
          <w:insideH w:val="nil"/>
          <w:insideV w:val="nil"/>
        </w:tcBorders>
      </w:tcPr>
    </w:tblStylePr>
    <w:tblStylePr w:type="firstCol">
      <w:rPr>
        <w:b/>
        <w:bCs/>
      </w:rPr>
      <w:tblPr/>
    </w:tblStylePr>
    <w:tblStylePr w:type="lastCol">
      <w:rPr>
        <w:b/>
        <w:bCs/>
      </w:rPr>
      <w:tbl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rsid w:val="00cb0664"/>
    <w:pPr>
      <w:spacing w:after="0" w:line="240" w:lineRule="auto"/>
    </w:pPr>
    <w:tblPr>
      <w:tblStyleRowBandSize w:val="1"/>
      <w:tblStyleColBandSize w:val="1"/>
      <w:tblBorders>
        <w:top w:val="single" w:color="7BA0CD" w:themeColor="accent1" w:themeTint="bf" w:sz="8" w:space="0"/>
        <w:left w:val="single" w:color="7BA0CD" w:themeColor="accent1" w:themeTint="bf" w:sz="8" w:space="0"/>
        <w:bottom w:val="single" w:color="7BA0CD" w:themeColor="accent1" w:themeTint="bf" w:sz="8" w:space="0"/>
        <w:right w:val="single" w:color="7BA0CD" w:themeColor="accent1" w:themeTint="bf" w:sz="8" w:space="0"/>
        <w:insideH w:val="single" w:color="7BA0CD" w:themeColor="accent1" w:themeTint="bf" w:sz="8" w:space="0"/>
      </w:tblBorders>
      <w:tblCellMar>
        <w:top w:w="0" w:type="dxa"/>
        <w:left w:w="108" w:type="dxa"/>
        <w:bottom w:w="0" w:type="dxa"/>
        <w:right w:w="108" w:type="dxa"/>
      </w:tblCellMar>
    </w:tblPr>
    <w:tblStylePr w:type="firstRow">
      <w:pPr>
        <w:spacing w:before="0" w:after="0" w:line="240" w:lineRule="auto"/>
      </w:pPr>
      <w:rPr>
        <w:b/>
        <w:bCs/>
        <w:color w:themeColor="background1"/>
      </w:rPr>
      <w:tblPr/>
      <w:tcPr>
        <w:tcBorders>
          <w:top w:val="single" w:color="7BA0CD" w:themeColor="accent1" w:sz="8" w:space="0"/>
          <w:left w:val="single" w:color="7BA0CD" w:themeColor="accent1" w:sz="8" w:space="0"/>
          <w:bottom w:val="single" w:color="7BA0CD" w:themeColor="accent1" w:sz="8" w:space="0"/>
          <w:right w:val="single" w:color="7BA0CD" w:themeColor="accent1" w:sz="8" w:space="0"/>
          <w:insideH w:val="nil"/>
          <w:insideV w:val="nil"/>
        </w:tcBorders>
        <w:shd w:val="clear" w:color="auto" w:fill="4F81BD" w:themeFill="accent1"/>
      </w:tcPr>
    </w:tblStylePr>
    <w:tblStylePr w:type="lastRow">
      <w:pPr>
        <w:spacing w:before="0" w:after="0" w:line="240" w:lineRule="auto"/>
      </w:pPr>
      <w:rPr>
        <w:b/>
        <w:bCs/>
      </w:rPr>
      <w:tblPr/>
      <w:tcPr>
        <w:tcBorders>
          <w:top w:val="double" w:color="7BA0CD" w:themeColor="accent1" w:sz="6" w:space="0"/>
          <w:left w:val="single" w:color="7BA0CD" w:themeColor="accent1" w:sz="8" w:space="0"/>
          <w:bottom w:val="single" w:color="7BA0CD" w:themeColor="accent1" w:sz="8" w:space="0"/>
          <w:right w:val="single" w:color="7BA0CD" w:themeColor="accent1" w:sz="8" w:space="0"/>
          <w:insideH w:val="nil"/>
          <w:insideV w:val="nil"/>
        </w:tcBorders>
      </w:tcPr>
    </w:tblStylePr>
    <w:tblStylePr w:type="firstCol">
      <w:rPr>
        <w:b/>
        <w:bCs/>
      </w:rPr>
      <w:tblPr/>
    </w:tblStylePr>
    <w:tblStylePr w:type="lastCol">
      <w:rPr>
        <w:b/>
        <w:bCs/>
      </w:rPr>
      <w:tbl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rsid w:val="00cb0664"/>
    <w:pPr>
      <w:spacing w:after="0" w:line="240" w:lineRule="auto"/>
    </w:pPr>
    <w:tblPr>
      <w:tblStyleRowBandSize w:val="1"/>
      <w:tblStyleColBandSize w:val="1"/>
      <w:tblBorders>
        <w:top w:val="single" w:color="CF7B79" w:themeColor="accent2" w:themeTint="bf" w:sz="8" w:space="0"/>
        <w:left w:val="single" w:color="CF7B79" w:themeColor="accent2" w:themeTint="bf" w:sz="8" w:space="0"/>
        <w:bottom w:val="single" w:color="CF7B79" w:themeColor="accent2" w:themeTint="bf" w:sz="8" w:space="0"/>
        <w:right w:val="single" w:color="CF7B79" w:themeColor="accent2" w:themeTint="bf" w:sz="8" w:space="0"/>
        <w:insideH w:val="single" w:color="CF7B79" w:themeColor="accent2" w:themeTint="bf" w:sz="8" w:space="0"/>
      </w:tblBorders>
      <w:tblCellMar>
        <w:top w:w="0" w:type="dxa"/>
        <w:left w:w="108" w:type="dxa"/>
        <w:bottom w:w="0" w:type="dxa"/>
        <w:right w:w="108" w:type="dxa"/>
      </w:tblCellMar>
    </w:tblPr>
    <w:tblStylePr w:type="firstRow">
      <w:pPr>
        <w:spacing w:before="0" w:after="0" w:line="240" w:lineRule="auto"/>
      </w:pPr>
      <w:rPr>
        <w:b/>
        <w:bCs/>
        <w:color w:themeColor="background1"/>
      </w:rPr>
      <w:tblPr/>
      <w:tcPr>
        <w:tcBorders>
          <w:top w:val="single" w:color="CF7B79" w:themeColor="accent2" w:sz="8" w:space="0"/>
          <w:left w:val="single" w:color="CF7B79" w:themeColor="accent2" w:sz="8" w:space="0"/>
          <w:bottom w:val="single" w:color="CF7B79" w:themeColor="accent2" w:sz="8" w:space="0"/>
          <w:right w:val="single" w:color="CF7B79" w:themeColor="accent2" w:sz="8" w:space="0"/>
          <w:insideH w:val="nil"/>
          <w:insideV w:val="nil"/>
        </w:tcBorders>
        <w:shd w:val="clear" w:color="auto" w:fill="C0504D" w:themeFill="accent2"/>
      </w:tcPr>
    </w:tblStylePr>
    <w:tblStylePr w:type="lastRow">
      <w:pPr>
        <w:spacing w:before="0" w:after="0" w:line="240" w:lineRule="auto"/>
      </w:pPr>
      <w:rPr>
        <w:b/>
        <w:bCs/>
      </w:rPr>
      <w:tblPr/>
      <w:tcPr>
        <w:tcBorders>
          <w:top w:val="double" w:color="CF7B79" w:themeColor="accent2" w:sz="6" w:space="0"/>
          <w:left w:val="single" w:color="CF7B79" w:themeColor="accent2" w:sz="8" w:space="0"/>
          <w:bottom w:val="single" w:color="CF7B79" w:themeColor="accent2" w:sz="8" w:space="0"/>
          <w:right w:val="single" w:color="CF7B79" w:themeColor="accent2" w:sz="8" w:space="0"/>
          <w:insideH w:val="nil"/>
          <w:insideV w:val="nil"/>
        </w:tcBorders>
      </w:tcPr>
    </w:tblStylePr>
    <w:tblStylePr w:type="firstCol">
      <w:rPr>
        <w:b/>
        <w:bCs/>
      </w:rPr>
      <w:tblPr/>
    </w:tblStylePr>
    <w:tblStylePr w:type="lastCol">
      <w:rPr>
        <w:b/>
        <w:bCs/>
      </w:rPr>
      <w:tbl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rsid w:val="00cb0664"/>
    <w:pPr>
      <w:spacing w:after="0" w:line="240" w:lineRule="auto"/>
    </w:pPr>
    <w:tblPr>
      <w:tblStyleRowBandSize w:val="1"/>
      <w:tblStyleColBandSize w:val="1"/>
      <w:tblBorders>
        <w:top w:val="single" w:color="B3CC82" w:themeColor="accent3" w:themeTint="bf" w:sz="8" w:space="0"/>
        <w:left w:val="single" w:color="B3CC82" w:themeColor="accent3" w:themeTint="bf" w:sz="8" w:space="0"/>
        <w:bottom w:val="single" w:color="B3CC82" w:themeColor="accent3" w:themeTint="bf" w:sz="8" w:space="0"/>
        <w:right w:val="single" w:color="B3CC82" w:themeColor="accent3" w:themeTint="bf" w:sz="8" w:space="0"/>
        <w:insideH w:val="single" w:color="B3CC82" w:themeColor="accent3" w:themeTint="bf" w:sz="8" w:space="0"/>
      </w:tblBorders>
      <w:tblCellMar>
        <w:top w:w="0" w:type="dxa"/>
        <w:left w:w="108" w:type="dxa"/>
        <w:bottom w:w="0" w:type="dxa"/>
        <w:right w:w="108" w:type="dxa"/>
      </w:tblCellMar>
    </w:tblPr>
    <w:tblStylePr w:type="firstRow">
      <w:pPr>
        <w:spacing w:before="0" w:after="0" w:line="240" w:lineRule="auto"/>
      </w:pPr>
      <w:rPr>
        <w:b/>
        <w:bCs/>
        <w:color w:themeColor="background1"/>
      </w:rPr>
      <w:tblPr/>
      <w:tcPr>
        <w:tcBorders>
          <w:top w:val="single" w:color="B3CC82" w:themeColor="accent3" w:sz="8" w:space="0"/>
          <w:left w:val="single" w:color="B3CC82" w:themeColor="accent3" w:sz="8" w:space="0"/>
          <w:bottom w:val="single" w:color="B3CC82" w:themeColor="accent3" w:sz="8" w:space="0"/>
          <w:right w:val="single" w:color="B3CC82" w:themeColor="accent3" w:sz="8" w:space="0"/>
          <w:insideH w:val="nil"/>
          <w:insideV w:val="nil"/>
        </w:tcBorders>
        <w:shd w:val="clear" w:color="auto" w:fill="9BBB59" w:themeFill="accent3"/>
      </w:tcPr>
    </w:tblStylePr>
    <w:tblStylePr w:type="lastRow">
      <w:pPr>
        <w:spacing w:before="0" w:after="0" w:line="240" w:lineRule="auto"/>
      </w:pPr>
      <w:rPr>
        <w:b/>
        <w:bCs/>
      </w:rPr>
      <w:tblPr/>
      <w:tcPr>
        <w:tcBorders>
          <w:top w:val="double" w:color="B3CC82" w:themeColor="accent3" w:sz="6" w:space="0"/>
          <w:left w:val="single" w:color="B3CC82" w:themeColor="accent3" w:sz="8" w:space="0"/>
          <w:bottom w:val="single" w:color="B3CC82" w:themeColor="accent3" w:sz="8" w:space="0"/>
          <w:right w:val="single" w:color="B3CC82" w:themeColor="accent3" w:sz="8" w:space="0"/>
          <w:insideH w:val="nil"/>
          <w:insideV w:val="nil"/>
        </w:tcBorders>
      </w:tcPr>
    </w:tblStylePr>
    <w:tblStylePr w:type="firstCol">
      <w:rPr>
        <w:b/>
        <w:bCs/>
      </w:rPr>
      <w:tblPr/>
    </w:tblStylePr>
    <w:tblStylePr w:type="lastCol">
      <w:rPr>
        <w:b/>
        <w:bCs/>
      </w:rPr>
      <w:tbl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cb0664"/>
    <w:pPr>
      <w:spacing w:after="0" w:line="240" w:lineRule="auto"/>
    </w:pPr>
    <w:tblPr>
      <w:tblStyleRowBandSize w:val="1"/>
      <w:tblStyleColBandSize w:val="1"/>
      <w:tblBorders>
        <w:top w:val="single" w:color="9F8AB9" w:themeColor="accent4" w:themeTint="bf" w:sz="8" w:space="0"/>
        <w:left w:val="single" w:color="9F8AB9" w:themeColor="accent4" w:themeTint="bf" w:sz="8" w:space="0"/>
        <w:bottom w:val="single" w:color="9F8AB9" w:themeColor="accent4" w:themeTint="bf" w:sz="8" w:space="0"/>
        <w:right w:val="single" w:color="9F8AB9" w:themeColor="accent4" w:themeTint="bf" w:sz="8" w:space="0"/>
        <w:insideH w:val="single" w:color="9F8AB9" w:themeColor="accent4" w:themeTint="bf" w:sz="8" w:space="0"/>
      </w:tblBorders>
      <w:tblCellMar>
        <w:top w:w="0" w:type="dxa"/>
        <w:left w:w="108" w:type="dxa"/>
        <w:bottom w:w="0" w:type="dxa"/>
        <w:right w:w="108" w:type="dxa"/>
      </w:tblCellMar>
    </w:tblPr>
    <w:tblStylePr w:type="firstRow">
      <w:pPr>
        <w:spacing w:before="0" w:after="0" w:line="240" w:lineRule="auto"/>
      </w:pPr>
      <w:rPr>
        <w:b/>
        <w:bCs/>
        <w:color w:themeColor="background1"/>
      </w:rPr>
      <w:tblPr/>
      <w:tcPr>
        <w:tcBorders>
          <w:top w:val="single" w:color="9F8AB9" w:themeColor="accent4" w:sz="8" w:space="0"/>
          <w:left w:val="single" w:color="9F8AB9" w:themeColor="accent4" w:sz="8" w:space="0"/>
          <w:bottom w:val="single" w:color="9F8AB9" w:themeColor="accent4" w:sz="8" w:space="0"/>
          <w:right w:val="single" w:color="9F8AB9" w:themeColor="accent4" w:sz="8" w:space="0"/>
          <w:insideH w:val="nil"/>
          <w:insideV w:val="nil"/>
        </w:tcBorders>
        <w:shd w:val="clear" w:color="auto" w:fill="8064A2" w:themeFill="accent4"/>
      </w:tcPr>
    </w:tblStylePr>
    <w:tblStylePr w:type="lastRow">
      <w:pPr>
        <w:spacing w:before="0" w:after="0" w:line="240" w:lineRule="auto"/>
      </w:pPr>
      <w:rPr>
        <w:b/>
        <w:bCs/>
      </w:rPr>
      <w:tblPr/>
      <w:tcPr>
        <w:tcBorders>
          <w:top w:val="double" w:color="9F8AB9" w:themeColor="accent4" w:sz="6" w:space="0"/>
          <w:left w:val="single" w:color="9F8AB9" w:themeColor="accent4" w:sz="8" w:space="0"/>
          <w:bottom w:val="single" w:color="9F8AB9" w:themeColor="accent4" w:sz="8" w:space="0"/>
          <w:right w:val="single" w:color="9F8AB9" w:themeColor="accent4" w:sz="8" w:space="0"/>
          <w:insideH w:val="nil"/>
          <w:insideV w:val="nil"/>
        </w:tcBorders>
      </w:tcPr>
    </w:tblStylePr>
    <w:tblStylePr w:type="firstCol">
      <w:rPr>
        <w:b/>
        <w:bCs/>
      </w:rPr>
      <w:tblPr/>
    </w:tblStylePr>
    <w:tblStylePr w:type="lastCol">
      <w:rPr>
        <w:b/>
        <w:bCs/>
      </w:rPr>
      <w:tbl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rsid w:val="00cb0664"/>
    <w:pPr>
      <w:spacing w:after="0" w:line="240" w:lineRule="auto"/>
    </w:pPr>
    <w:tblPr>
      <w:tblStyleRowBandSize w:val="1"/>
      <w:tblStyleColBandSize w:val="1"/>
      <w:tblBorders>
        <w:top w:val="single" w:color="78C0D4" w:themeColor="accent5" w:themeTint="bf" w:sz="8" w:space="0"/>
        <w:left w:val="single" w:color="78C0D4" w:themeColor="accent5" w:themeTint="bf" w:sz="8" w:space="0"/>
        <w:bottom w:val="single" w:color="78C0D4" w:themeColor="accent5" w:themeTint="bf" w:sz="8" w:space="0"/>
        <w:right w:val="single" w:color="78C0D4" w:themeColor="accent5" w:themeTint="bf" w:sz="8" w:space="0"/>
        <w:insideH w:val="single" w:color="78C0D4" w:themeColor="accent5" w:themeTint="bf" w:sz="8" w:space="0"/>
      </w:tblBorders>
      <w:tblCellMar>
        <w:top w:w="0" w:type="dxa"/>
        <w:left w:w="108" w:type="dxa"/>
        <w:bottom w:w="0" w:type="dxa"/>
        <w:right w:w="108" w:type="dxa"/>
      </w:tblCellMar>
    </w:tblPr>
    <w:tblStylePr w:type="firstRow">
      <w:pPr>
        <w:spacing w:before="0" w:after="0" w:line="240" w:lineRule="auto"/>
      </w:pPr>
      <w:rPr>
        <w:b/>
        <w:bCs/>
        <w:color w:themeColor="background1"/>
      </w:rPr>
      <w:tblPr/>
      <w:tcPr>
        <w:tcBorders>
          <w:top w:val="single" w:color="78C0D4" w:themeColor="accent5" w:sz="8" w:space="0"/>
          <w:left w:val="single" w:color="78C0D4" w:themeColor="accent5" w:sz="8" w:space="0"/>
          <w:bottom w:val="single" w:color="78C0D4" w:themeColor="accent5" w:sz="8" w:space="0"/>
          <w:right w:val="single" w:color="78C0D4" w:themeColor="accent5" w:sz="8" w:space="0"/>
          <w:insideH w:val="nil"/>
          <w:insideV w:val="nil"/>
        </w:tcBorders>
        <w:shd w:val="clear" w:color="auto" w:fill="4BACC6" w:themeFill="accent5"/>
      </w:tcPr>
    </w:tblStylePr>
    <w:tblStylePr w:type="lastRow">
      <w:pPr>
        <w:spacing w:before="0" w:after="0" w:line="240" w:lineRule="auto"/>
      </w:pPr>
      <w:rPr>
        <w:b/>
        <w:bCs/>
      </w:rPr>
      <w:tblPr/>
      <w:tcPr>
        <w:tcBorders>
          <w:top w:val="double" w:color="78C0D4" w:themeColor="accent5" w:sz="6" w:space="0"/>
          <w:left w:val="single" w:color="78C0D4" w:themeColor="accent5" w:sz="8" w:space="0"/>
          <w:bottom w:val="single" w:color="78C0D4" w:themeColor="accent5" w:sz="8" w:space="0"/>
          <w:right w:val="single" w:color="78C0D4" w:themeColor="accent5" w:sz="8" w:space="0"/>
          <w:insideH w:val="nil"/>
          <w:insideV w:val="nil"/>
        </w:tcBorders>
      </w:tcPr>
    </w:tblStylePr>
    <w:tblStylePr w:type="firstCol">
      <w:rPr>
        <w:b/>
        <w:bCs/>
      </w:rPr>
      <w:tblPr/>
    </w:tblStylePr>
    <w:tblStylePr w:type="lastCol">
      <w:rPr>
        <w:b/>
        <w:bCs/>
      </w:rPr>
      <w:tbl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rsid w:val="00cb0664"/>
    <w:pPr>
      <w:spacing w:after="0" w:line="240" w:lineRule="auto"/>
    </w:pPr>
    <w:tblPr>
      <w:tblStyleRowBandSize w:val="1"/>
      <w:tblStyleColBandSize w:val="1"/>
      <w:tblBorders>
        <w:top w:val="single" w:color="F9B074" w:themeColor="accent6" w:themeTint="bf" w:sz="8" w:space="0"/>
        <w:left w:val="single" w:color="F9B074" w:themeColor="accent6" w:themeTint="bf" w:sz="8" w:space="0"/>
        <w:bottom w:val="single" w:color="F9B074" w:themeColor="accent6" w:themeTint="bf" w:sz="8" w:space="0"/>
        <w:right w:val="single" w:color="F9B074" w:themeColor="accent6" w:themeTint="bf" w:sz="8" w:space="0"/>
        <w:insideH w:val="single" w:color="F9B074" w:themeColor="accent6" w:themeTint="bf" w:sz="8" w:space="0"/>
      </w:tblBorders>
      <w:tblCellMar>
        <w:top w:w="0" w:type="dxa"/>
        <w:left w:w="108" w:type="dxa"/>
        <w:bottom w:w="0" w:type="dxa"/>
        <w:right w:w="108" w:type="dxa"/>
      </w:tblCellMar>
    </w:tblPr>
    <w:tblStylePr w:type="firstRow">
      <w:pPr>
        <w:spacing w:before="0" w:after="0" w:line="240" w:lineRule="auto"/>
      </w:pPr>
      <w:rPr>
        <w:b/>
        <w:bCs/>
        <w:color w:themeColor="background1"/>
      </w:rPr>
      <w:tblPr/>
      <w:tcPr>
        <w:tcBorders>
          <w:top w:val="single" w:color="F9B074" w:themeColor="accent6" w:sz="8" w:space="0"/>
          <w:left w:val="single" w:color="F9B074" w:themeColor="accent6" w:sz="8" w:space="0"/>
          <w:bottom w:val="single" w:color="F9B074" w:themeColor="accent6" w:sz="8" w:space="0"/>
          <w:right w:val="single" w:color="F9B074" w:themeColor="accent6" w:sz="8" w:space="0"/>
          <w:insideH w:val="nil"/>
          <w:insideV w:val="nil"/>
        </w:tcBorders>
        <w:shd w:val="clear" w:color="auto" w:fill="F79646" w:themeFill="accent6"/>
      </w:tcPr>
    </w:tblStylePr>
    <w:tblStylePr w:type="lastRow">
      <w:pPr>
        <w:spacing w:before="0" w:after="0" w:line="240" w:lineRule="auto"/>
      </w:pPr>
      <w:rPr>
        <w:b/>
        <w:bCs/>
      </w:rPr>
      <w:tblPr/>
      <w:tcPr>
        <w:tcBorders>
          <w:top w:val="double" w:color="F9B074" w:themeColor="accent6" w:sz="6" w:space="0"/>
          <w:left w:val="single" w:color="F9B074" w:themeColor="accent6" w:sz="8" w:space="0"/>
          <w:bottom w:val="single" w:color="F9B074" w:themeColor="accent6" w:sz="8" w:space="0"/>
          <w:right w:val="single" w:color="F9B074" w:themeColor="accent6" w:sz="8" w:space="0"/>
          <w:insideH w:val="nil"/>
          <w:insideV w:val="nil"/>
        </w:tcBorders>
      </w:tcPr>
    </w:tblStylePr>
    <w:tblStylePr w:type="firstCol">
      <w:rPr>
        <w:b/>
        <w:bCs/>
      </w:rPr>
      <w:tblPr/>
    </w:tblStylePr>
    <w:tblStylePr w:type="lastCol">
      <w:rPr>
        <w:b/>
        <w:bCs/>
      </w:rPr>
      <w:tbl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rsid w:val="00cb0664"/>
    <w:pPr>
      <w:spacing w:after="0" w:line="240" w:lineRule="auto"/>
    </w:pPr>
    <w:tblPr>
      <w:tblStyleRowBandSize w:val="1"/>
      <w:tblStyleColBandSize w:val="1"/>
      <w:tblBorders>
        <w:top w:val="single" w:color="auto" w:sz="18" w:space="0"/>
        <w:bottom w:val="single" w:color="auto" w:sz="18" w:space="0"/>
      </w:tblBorders>
      <w:tblCellMar>
        <w:top w:w="0" w:type="dxa"/>
        <w:left w:w="108" w:type="dxa"/>
        <w:bottom w:w="0" w:type="dxa"/>
        <w:right w:w="108" w:type="dxa"/>
      </w:tblCellMar>
    </w:tblPr>
    <w:tblStylePr w:type="firstRow">
      <w:pPr>
        <w:spacing w:before="0" w:after="0" w:line="240" w:lineRule="auto"/>
      </w:pPr>
      <w:rPr>
        <w:b/>
        <w:bCs/>
        <w:color w:themeColor="background1"/>
      </w:rPr>
      <w:tblPr/>
      <w:tcPr>
        <w:tcBorders>
          <w:top w:val="single" w:color="auto" w:sz="18" w:space="0"/>
          <w:left w:val="nil"/>
          <w:bottom w:val="single" w:color="auto" w:sz="18" w:space="0"/>
          <w:right w:val="nil"/>
          <w:insideH w:val="nil"/>
          <w:insideV w:val="nil"/>
        </w:tcBorders>
        <w:shd w:val="clear" w:color="auto" w:fill="000000" w:themeFill="text1"/>
      </w:tcPr>
    </w:tblStylePr>
    <w:tblStylePr w:type="lastRow">
      <w:pPr>
        <w:spacing w:before="0" w:after="0" w:line="240" w:lineRule="auto"/>
      </w:pPr>
      <w:tblPr/>
      <w:tcPr>
        <w:tcBorders>
          <w:top w:val="double" w:color="auto" w:sz="6" w:space="0"/>
          <w:left w:val="nil"/>
          <w:bottom w:val="single" w:color="auto" w:sz="18" w:space="0"/>
          <w:right w:val="nil"/>
          <w:insideH w:val="nil"/>
          <w:insideV w:val="nil"/>
        </w:tcBorders>
        <w:shd w:val="clear" w:color="auto" w:fill="FFFFFF" w:themeFill="background1"/>
      </w:tcPr>
    </w:tblStylePr>
    <w:tblStylePr w:type="firstCol">
      <w:rPr>
        <w:b/>
        <w:bCs/>
        <w:color w:themeColor="background1"/>
      </w:rPr>
      <w:tblPr/>
      <w:tcPr>
        <w:tcBorders>
          <w:top w:val="nil"/>
          <w:left w:val="nil"/>
          <w:bottom w:val="single" w:color="auto" w:sz="18" w:space="0"/>
          <w:right w:val="nil"/>
          <w:insideH w:val="nil"/>
          <w:insideV w:val="nil"/>
        </w:tcBorders>
        <w:shd w:val="clear" w:color="auto" w:fill="000000" w:themeFill="text1"/>
      </w:tcPr>
    </w:tblStylePr>
    <w:tblStylePr w:type="lastCol">
      <w:rPr>
        <w:b/>
        <w:bCs/>
        <w:color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color="auto" w:sz="18" w:space="0"/>
          <w:left w:val="nil"/>
          <w:bottom w:val="single" w:color="auto" w:sz="18" w:space="0"/>
          <w:right w:val="nil"/>
          <w:insideH w:val="nil"/>
          <w:insideV w:val="nil"/>
        </w:tcBorders>
      </w:tcPr>
    </w:tblStylePr>
    <w:tblStylePr w:type="nwCell">
      <w:rPr>
        <w:color w:themeColor="background1"/>
      </w:rPr>
      <w:tblPr/>
      <w:tcPr>
        <w:tcBorders>
          <w:top w:val="single" w:color="auto" w:sz="18" w:space="0"/>
          <w:left w:val="nil"/>
          <w:bottom w:val="single" w:color="auto" w:sz="18" w:space="0"/>
          <w:right w:val="nil"/>
          <w:insideH w:val="nil"/>
          <w:insideV w:val="nil"/>
        </w:tcBorders>
      </w:tcPr>
    </w:tblStylePr>
  </w:style>
  <w:style w:type="table" w:styleId="MediumShading2-Accent1">
    <w:name w:val="Medium Shading 2 Accent 1"/>
    <w:basedOn w:val="TableNormal"/>
    <w:uiPriority w:val="64"/>
    <w:rsid w:val="00cb0664"/>
    <w:pPr>
      <w:spacing w:after="0" w:line="240" w:lineRule="auto"/>
    </w:pPr>
    <w:tblPr>
      <w:tblStyleRowBandSize w:val="1"/>
      <w:tblStyleColBandSize w:val="1"/>
      <w:tblBorders>
        <w:top w:val="single" w:color="auto" w:sz="18" w:space="0"/>
        <w:bottom w:val="single" w:color="auto" w:sz="18" w:space="0"/>
      </w:tblBorders>
      <w:tblCellMar>
        <w:top w:w="0" w:type="dxa"/>
        <w:left w:w="108" w:type="dxa"/>
        <w:bottom w:w="0" w:type="dxa"/>
        <w:right w:w="108" w:type="dxa"/>
      </w:tblCellMar>
    </w:tblPr>
    <w:tblStylePr w:type="firstRow">
      <w:pPr>
        <w:spacing w:before="0" w:after="0" w:line="240" w:lineRule="auto"/>
      </w:pPr>
      <w:rPr>
        <w:b/>
        <w:bCs/>
        <w:color w:themeColor="background1"/>
      </w:rPr>
      <w:tblPr/>
      <w:tcPr>
        <w:tcBorders>
          <w:top w:val="single" w:color="auto" w:sz="18" w:space="0"/>
          <w:left w:val="nil"/>
          <w:bottom w:val="single" w:color="auto" w:sz="18" w:space="0"/>
          <w:right w:val="nil"/>
          <w:insideH w:val="nil"/>
          <w:insideV w:val="nil"/>
        </w:tcBorders>
        <w:shd w:val="clear" w:color="auto" w:fill="4F81BD" w:themeFill="accent1"/>
      </w:tcPr>
    </w:tblStylePr>
    <w:tblStylePr w:type="lastRow">
      <w:pPr>
        <w:spacing w:before="0" w:after="0" w:line="240" w:lineRule="auto"/>
      </w:pPr>
      <w:tblPr/>
      <w:tcPr>
        <w:tcBorders>
          <w:top w:val="double" w:color="auto" w:sz="6" w:space="0"/>
          <w:left w:val="nil"/>
          <w:bottom w:val="single" w:color="auto" w:sz="18" w:space="0"/>
          <w:right w:val="nil"/>
          <w:insideH w:val="nil"/>
          <w:insideV w:val="nil"/>
        </w:tcBorders>
        <w:shd w:val="clear" w:color="auto" w:fill="FFFFFF" w:themeFill="background1"/>
      </w:tcPr>
    </w:tblStylePr>
    <w:tblStylePr w:type="firstCol">
      <w:rPr>
        <w:b/>
        <w:bCs/>
        <w:color w:themeColor="background1"/>
      </w:rPr>
      <w:tblPr/>
      <w:tcPr>
        <w:tcBorders>
          <w:top w:val="nil"/>
          <w:left w:val="nil"/>
          <w:bottom w:val="single" w:color="auto" w:sz="18" w:space="0"/>
          <w:right w:val="nil"/>
          <w:insideH w:val="nil"/>
          <w:insideV w:val="nil"/>
        </w:tcBorders>
        <w:shd w:val="clear" w:color="auto" w:fill="4F81BD" w:themeFill="accent1"/>
      </w:tcPr>
    </w:tblStylePr>
    <w:tblStylePr w:type="lastCol">
      <w:rPr>
        <w:b/>
        <w:bCs/>
        <w:color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color="auto" w:sz="18" w:space="0"/>
          <w:left w:val="nil"/>
          <w:bottom w:val="single" w:color="auto" w:sz="18" w:space="0"/>
          <w:right w:val="nil"/>
          <w:insideH w:val="nil"/>
          <w:insideV w:val="nil"/>
        </w:tcBorders>
      </w:tcPr>
    </w:tblStylePr>
    <w:tblStylePr w:type="nwCell">
      <w:rPr>
        <w:color w:themeColor="background1"/>
      </w:rPr>
      <w:tblPr/>
      <w:tcPr>
        <w:tcBorders>
          <w:top w:val="single" w:color="auto" w:sz="18" w:space="0"/>
          <w:left w:val="nil"/>
          <w:bottom w:val="single" w:color="auto" w:sz="18" w:space="0"/>
          <w:right w:val="nil"/>
          <w:insideH w:val="nil"/>
          <w:insideV w:val="nil"/>
        </w:tcBorders>
      </w:tcPr>
    </w:tblStylePr>
  </w:style>
  <w:style w:type="table" w:styleId="MediumShading2-Accent2">
    <w:name w:val="Medium Shading 2 Accent 2"/>
    <w:basedOn w:val="TableNormal"/>
    <w:uiPriority w:val="64"/>
    <w:rsid w:val="00cb0664"/>
    <w:pPr>
      <w:spacing w:after="0" w:line="240" w:lineRule="auto"/>
    </w:pPr>
    <w:tblPr>
      <w:tblStyleRowBandSize w:val="1"/>
      <w:tblStyleColBandSize w:val="1"/>
      <w:tblBorders>
        <w:top w:val="single" w:color="auto" w:sz="18" w:space="0"/>
        <w:bottom w:val="single" w:color="auto" w:sz="18" w:space="0"/>
      </w:tblBorders>
      <w:tblCellMar>
        <w:top w:w="0" w:type="dxa"/>
        <w:left w:w="108" w:type="dxa"/>
        <w:bottom w:w="0" w:type="dxa"/>
        <w:right w:w="108" w:type="dxa"/>
      </w:tblCellMar>
    </w:tblPr>
    <w:tblStylePr w:type="firstRow">
      <w:pPr>
        <w:spacing w:before="0" w:after="0" w:line="240" w:lineRule="auto"/>
      </w:pPr>
      <w:rPr>
        <w:b/>
        <w:bCs/>
        <w:color w:themeColor="background1"/>
      </w:rPr>
      <w:tblPr/>
      <w:tcPr>
        <w:tcBorders>
          <w:top w:val="single" w:color="auto" w:sz="18" w:space="0"/>
          <w:left w:val="nil"/>
          <w:bottom w:val="single" w:color="auto" w:sz="18" w:space="0"/>
          <w:right w:val="nil"/>
          <w:insideH w:val="nil"/>
          <w:insideV w:val="nil"/>
        </w:tcBorders>
        <w:shd w:val="clear" w:color="auto" w:fill="C0504D" w:themeFill="accent2"/>
      </w:tcPr>
    </w:tblStylePr>
    <w:tblStylePr w:type="lastRow">
      <w:pPr>
        <w:spacing w:before="0" w:after="0" w:line="240" w:lineRule="auto"/>
      </w:pPr>
      <w:tblPr/>
      <w:tcPr>
        <w:tcBorders>
          <w:top w:val="double" w:color="auto" w:sz="6" w:space="0"/>
          <w:left w:val="nil"/>
          <w:bottom w:val="single" w:color="auto" w:sz="18" w:space="0"/>
          <w:right w:val="nil"/>
          <w:insideH w:val="nil"/>
          <w:insideV w:val="nil"/>
        </w:tcBorders>
        <w:shd w:val="clear" w:color="auto" w:fill="FFFFFF" w:themeFill="background1"/>
      </w:tcPr>
    </w:tblStylePr>
    <w:tblStylePr w:type="firstCol">
      <w:rPr>
        <w:b/>
        <w:bCs/>
        <w:color w:themeColor="background1"/>
      </w:rPr>
      <w:tblPr/>
      <w:tcPr>
        <w:tcBorders>
          <w:top w:val="nil"/>
          <w:left w:val="nil"/>
          <w:bottom w:val="single" w:color="auto" w:sz="18" w:space="0"/>
          <w:right w:val="nil"/>
          <w:insideH w:val="nil"/>
          <w:insideV w:val="nil"/>
        </w:tcBorders>
        <w:shd w:val="clear" w:color="auto" w:fill="C0504D" w:themeFill="accent2"/>
      </w:tcPr>
    </w:tblStylePr>
    <w:tblStylePr w:type="lastCol">
      <w:rPr>
        <w:b/>
        <w:bCs/>
        <w:color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color="auto" w:sz="18" w:space="0"/>
          <w:left w:val="nil"/>
          <w:bottom w:val="single" w:color="auto" w:sz="18" w:space="0"/>
          <w:right w:val="nil"/>
          <w:insideH w:val="nil"/>
          <w:insideV w:val="nil"/>
        </w:tcBorders>
      </w:tcPr>
    </w:tblStylePr>
    <w:tblStylePr w:type="nwCell">
      <w:rPr>
        <w:color w:themeColor="background1"/>
      </w:rPr>
      <w:tblPr/>
      <w:tcPr>
        <w:tcBorders>
          <w:top w:val="single" w:color="auto" w:sz="18" w:space="0"/>
          <w:left w:val="nil"/>
          <w:bottom w:val="single" w:color="auto" w:sz="18" w:space="0"/>
          <w:right w:val="nil"/>
          <w:insideH w:val="nil"/>
          <w:insideV w:val="nil"/>
        </w:tcBorders>
      </w:tcPr>
    </w:tblStylePr>
  </w:style>
  <w:style w:type="table" w:styleId="MediumShading2-Accent3">
    <w:name w:val="Medium Shading 2 Accent 3"/>
    <w:basedOn w:val="TableNormal"/>
    <w:uiPriority w:val="64"/>
    <w:rsid w:val="00cb0664"/>
    <w:pPr>
      <w:spacing w:after="0" w:line="240" w:lineRule="auto"/>
    </w:pPr>
    <w:tblPr>
      <w:tblStyleRowBandSize w:val="1"/>
      <w:tblStyleColBandSize w:val="1"/>
      <w:tblBorders>
        <w:top w:val="single" w:color="auto" w:sz="18" w:space="0"/>
        <w:bottom w:val="single" w:color="auto" w:sz="18" w:space="0"/>
      </w:tblBorders>
      <w:tblCellMar>
        <w:top w:w="0" w:type="dxa"/>
        <w:left w:w="108" w:type="dxa"/>
        <w:bottom w:w="0" w:type="dxa"/>
        <w:right w:w="108" w:type="dxa"/>
      </w:tblCellMar>
    </w:tblPr>
    <w:tblStylePr w:type="firstRow">
      <w:pPr>
        <w:spacing w:before="0" w:after="0" w:line="240" w:lineRule="auto"/>
      </w:pPr>
      <w:rPr>
        <w:b/>
        <w:bCs/>
        <w:color w:themeColor="background1"/>
      </w:rPr>
      <w:tblPr/>
      <w:tcPr>
        <w:tcBorders>
          <w:top w:val="single" w:color="auto" w:sz="18" w:space="0"/>
          <w:left w:val="nil"/>
          <w:bottom w:val="single" w:color="auto" w:sz="18" w:space="0"/>
          <w:right w:val="nil"/>
          <w:insideH w:val="nil"/>
          <w:insideV w:val="nil"/>
        </w:tcBorders>
        <w:shd w:val="clear" w:color="auto" w:fill="9BBB59" w:themeFill="accent3"/>
      </w:tcPr>
    </w:tblStylePr>
    <w:tblStylePr w:type="lastRow">
      <w:pPr>
        <w:spacing w:before="0" w:after="0" w:line="240" w:lineRule="auto"/>
      </w:pPr>
      <w:tblPr/>
      <w:tcPr>
        <w:tcBorders>
          <w:top w:val="double" w:color="auto" w:sz="6" w:space="0"/>
          <w:left w:val="nil"/>
          <w:bottom w:val="single" w:color="auto" w:sz="18" w:space="0"/>
          <w:right w:val="nil"/>
          <w:insideH w:val="nil"/>
          <w:insideV w:val="nil"/>
        </w:tcBorders>
        <w:shd w:val="clear" w:color="auto" w:fill="FFFFFF" w:themeFill="background1"/>
      </w:tcPr>
    </w:tblStylePr>
    <w:tblStylePr w:type="firstCol">
      <w:rPr>
        <w:b/>
        <w:bCs/>
        <w:color w:themeColor="background1"/>
      </w:rPr>
      <w:tblPr/>
      <w:tcPr>
        <w:tcBorders>
          <w:top w:val="nil"/>
          <w:left w:val="nil"/>
          <w:bottom w:val="single" w:color="auto" w:sz="18" w:space="0"/>
          <w:right w:val="nil"/>
          <w:insideH w:val="nil"/>
          <w:insideV w:val="nil"/>
        </w:tcBorders>
        <w:shd w:val="clear" w:color="auto" w:fill="9BBB59" w:themeFill="accent3"/>
      </w:tcPr>
    </w:tblStylePr>
    <w:tblStylePr w:type="lastCol">
      <w:rPr>
        <w:b/>
        <w:bCs/>
        <w:color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color="auto" w:sz="18" w:space="0"/>
          <w:left w:val="nil"/>
          <w:bottom w:val="single" w:color="auto" w:sz="18" w:space="0"/>
          <w:right w:val="nil"/>
          <w:insideH w:val="nil"/>
          <w:insideV w:val="nil"/>
        </w:tcBorders>
      </w:tcPr>
    </w:tblStylePr>
    <w:tblStylePr w:type="nwCell">
      <w:rPr>
        <w:color w:themeColor="background1"/>
      </w:rPr>
      <w:tblPr/>
      <w:tcPr>
        <w:tcBorders>
          <w:top w:val="single" w:color="auto" w:sz="18" w:space="0"/>
          <w:left w:val="nil"/>
          <w:bottom w:val="single" w:color="auto" w:sz="18" w:space="0"/>
          <w:right w:val="nil"/>
          <w:insideH w:val="nil"/>
          <w:insideV w:val="nil"/>
        </w:tcBorders>
      </w:tcPr>
    </w:tblStylePr>
  </w:style>
  <w:style w:type="table" w:styleId="MediumShading2-Accent4">
    <w:name w:val="Medium Shading 2 Accent 4"/>
    <w:basedOn w:val="TableNormal"/>
    <w:uiPriority w:val="64"/>
    <w:rsid w:val="00cb0664"/>
    <w:pPr>
      <w:spacing w:after="0" w:line="240" w:lineRule="auto"/>
    </w:pPr>
    <w:tblPr>
      <w:tblStyleRowBandSize w:val="1"/>
      <w:tblStyleColBandSize w:val="1"/>
      <w:tblBorders>
        <w:top w:val="single" w:color="auto" w:sz="18" w:space="0"/>
        <w:bottom w:val="single" w:color="auto" w:sz="18" w:space="0"/>
      </w:tblBorders>
      <w:tblCellMar>
        <w:top w:w="0" w:type="dxa"/>
        <w:left w:w="108" w:type="dxa"/>
        <w:bottom w:w="0" w:type="dxa"/>
        <w:right w:w="108" w:type="dxa"/>
      </w:tblCellMar>
    </w:tblPr>
    <w:tblStylePr w:type="firstRow">
      <w:pPr>
        <w:spacing w:before="0" w:after="0" w:line="240" w:lineRule="auto"/>
      </w:pPr>
      <w:rPr>
        <w:b/>
        <w:bCs/>
        <w:color w:themeColor="background1"/>
      </w:rPr>
      <w:tblPr/>
      <w:tcPr>
        <w:tcBorders>
          <w:top w:val="single" w:color="auto" w:sz="18" w:space="0"/>
          <w:left w:val="nil"/>
          <w:bottom w:val="single" w:color="auto" w:sz="18" w:space="0"/>
          <w:right w:val="nil"/>
          <w:insideH w:val="nil"/>
          <w:insideV w:val="nil"/>
        </w:tcBorders>
        <w:shd w:val="clear" w:color="auto" w:fill="8064A2" w:themeFill="accent4"/>
      </w:tcPr>
    </w:tblStylePr>
    <w:tblStylePr w:type="lastRow">
      <w:pPr>
        <w:spacing w:before="0" w:after="0" w:line="240" w:lineRule="auto"/>
      </w:pPr>
      <w:tblPr/>
      <w:tcPr>
        <w:tcBorders>
          <w:top w:val="double" w:color="auto" w:sz="6" w:space="0"/>
          <w:left w:val="nil"/>
          <w:bottom w:val="single" w:color="auto" w:sz="18" w:space="0"/>
          <w:right w:val="nil"/>
          <w:insideH w:val="nil"/>
          <w:insideV w:val="nil"/>
        </w:tcBorders>
        <w:shd w:val="clear" w:color="auto" w:fill="FFFFFF" w:themeFill="background1"/>
      </w:tcPr>
    </w:tblStylePr>
    <w:tblStylePr w:type="firstCol">
      <w:rPr>
        <w:b/>
        <w:bCs/>
        <w:color w:themeColor="background1"/>
      </w:rPr>
      <w:tblPr/>
      <w:tcPr>
        <w:tcBorders>
          <w:top w:val="nil"/>
          <w:left w:val="nil"/>
          <w:bottom w:val="single" w:color="auto" w:sz="18" w:space="0"/>
          <w:right w:val="nil"/>
          <w:insideH w:val="nil"/>
          <w:insideV w:val="nil"/>
        </w:tcBorders>
        <w:shd w:val="clear" w:color="auto" w:fill="8064A2" w:themeFill="accent4"/>
      </w:tcPr>
    </w:tblStylePr>
    <w:tblStylePr w:type="lastCol">
      <w:rPr>
        <w:b/>
        <w:bCs/>
        <w:color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color="auto" w:sz="18" w:space="0"/>
          <w:left w:val="nil"/>
          <w:bottom w:val="single" w:color="auto" w:sz="18" w:space="0"/>
          <w:right w:val="nil"/>
          <w:insideH w:val="nil"/>
          <w:insideV w:val="nil"/>
        </w:tcBorders>
      </w:tcPr>
    </w:tblStylePr>
    <w:tblStylePr w:type="nwCell">
      <w:rPr>
        <w:color w:themeColor="background1"/>
      </w:rPr>
      <w:tblPr/>
      <w:tcPr>
        <w:tcBorders>
          <w:top w:val="single" w:color="auto" w:sz="18" w:space="0"/>
          <w:left w:val="nil"/>
          <w:bottom w:val="single" w:color="auto" w:sz="18" w:space="0"/>
          <w:right w:val="nil"/>
          <w:insideH w:val="nil"/>
          <w:insideV w:val="nil"/>
        </w:tcBorders>
      </w:tcPr>
    </w:tblStylePr>
  </w:style>
  <w:style w:type="table" w:styleId="MediumShading2-Accent5">
    <w:name w:val="Medium Shading 2 Accent 5"/>
    <w:basedOn w:val="TableNormal"/>
    <w:uiPriority w:val="64"/>
    <w:rsid w:val="00cb0664"/>
    <w:pPr>
      <w:spacing w:after="0" w:line="240" w:lineRule="auto"/>
    </w:pPr>
    <w:tblPr>
      <w:tblStyleRowBandSize w:val="1"/>
      <w:tblStyleColBandSize w:val="1"/>
      <w:tblBorders>
        <w:top w:val="single" w:color="auto" w:sz="18" w:space="0"/>
        <w:bottom w:val="single" w:color="auto" w:sz="18" w:space="0"/>
      </w:tblBorders>
      <w:tblCellMar>
        <w:top w:w="0" w:type="dxa"/>
        <w:left w:w="108" w:type="dxa"/>
        <w:bottom w:w="0" w:type="dxa"/>
        <w:right w:w="108" w:type="dxa"/>
      </w:tblCellMar>
    </w:tblPr>
    <w:tblStylePr w:type="firstRow">
      <w:pPr>
        <w:spacing w:before="0" w:after="0" w:line="240" w:lineRule="auto"/>
      </w:pPr>
      <w:rPr>
        <w:b/>
        <w:bCs/>
        <w:color w:themeColor="background1"/>
      </w:rPr>
      <w:tblPr/>
      <w:tcPr>
        <w:tcBorders>
          <w:top w:val="single" w:color="auto" w:sz="18" w:space="0"/>
          <w:left w:val="nil"/>
          <w:bottom w:val="single" w:color="auto" w:sz="18" w:space="0"/>
          <w:right w:val="nil"/>
          <w:insideH w:val="nil"/>
          <w:insideV w:val="nil"/>
        </w:tcBorders>
        <w:shd w:val="clear" w:color="auto" w:fill="4BACC6" w:themeFill="accent5"/>
      </w:tcPr>
    </w:tblStylePr>
    <w:tblStylePr w:type="lastRow">
      <w:pPr>
        <w:spacing w:before="0" w:after="0" w:line="240" w:lineRule="auto"/>
      </w:pPr>
      <w:tblPr/>
      <w:tcPr>
        <w:tcBorders>
          <w:top w:val="double" w:color="auto" w:sz="6" w:space="0"/>
          <w:left w:val="nil"/>
          <w:bottom w:val="single" w:color="auto" w:sz="18" w:space="0"/>
          <w:right w:val="nil"/>
          <w:insideH w:val="nil"/>
          <w:insideV w:val="nil"/>
        </w:tcBorders>
        <w:shd w:val="clear" w:color="auto" w:fill="FFFFFF" w:themeFill="background1"/>
      </w:tcPr>
    </w:tblStylePr>
    <w:tblStylePr w:type="firstCol">
      <w:rPr>
        <w:b/>
        <w:bCs/>
        <w:color w:themeColor="background1"/>
      </w:rPr>
      <w:tblPr/>
      <w:tcPr>
        <w:tcBorders>
          <w:top w:val="nil"/>
          <w:left w:val="nil"/>
          <w:bottom w:val="single" w:color="auto" w:sz="18" w:space="0"/>
          <w:right w:val="nil"/>
          <w:insideH w:val="nil"/>
          <w:insideV w:val="nil"/>
        </w:tcBorders>
        <w:shd w:val="clear" w:color="auto" w:fill="4BACC6" w:themeFill="accent5"/>
      </w:tcPr>
    </w:tblStylePr>
    <w:tblStylePr w:type="lastCol">
      <w:rPr>
        <w:b/>
        <w:bCs/>
        <w:color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color="auto" w:sz="18" w:space="0"/>
          <w:left w:val="nil"/>
          <w:bottom w:val="single" w:color="auto" w:sz="18" w:space="0"/>
          <w:right w:val="nil"/>
          <w:insideH w:val="nil"/>
          <w:insideV w:val="nil"/>
        </w:tcBorders>
      </w:tcPr>
    </w:tblStylePr>
    <w:tblStylePr w:type="nwCell">
      <w:rPr>
        <w:color w:themeColor="background1"/>
      </w:rPr>
      <w:tblPr/>
      <w:tcPr>
        <w:tcBorders>
          <w:top w:val="single" w:color="auto" w:sz="18" w:space="0"/>
          <w:left w:val="nil"/>
          <w:bottom w:val="single" w:color="auto" w:sz="18" w:space="0"/>
          <w:right w:val="nil"/>
          <w:insideH w:val="nil"/>
          <w:insideV w:val="nil"/>
        </w:tcBorders>
      </w:tcPr>
    </w:tblStylePr>
  </w:style>
  <w:style w:type="table" w:styleId="MediumShading2-Accent6">
    <w:name w:val="Medium Shading 2 Accent 6"/>
    <w:basedOn w:val="TableNormal"/>
    <w:uiPriority w:val="64"/>
    <w:rsid w:val="00cb0664"/>
    <w:pPr>
      <w:spacing w:after="0" w:line="240" w:lineRule="auto"/>
    </w:pPr>
    <w:tblPr>
      <w:tblStyleRowBandSize w:val="1"/>
      <w:tblStyleColBandSize w:val="1"/>
      <w:tblBorders>
        <w:top w:val="single" w:color="auto" w:sz="18" w:space="0"/>
        <w:bottom w:val="single" w:color="auto" w:sz="18" w:space="0"/>
      </w:tblBorders>
      <w:tblCellMar>
        <w:top w:w="0" w:type="dxa"/>
        <w:left w:w="108" w:type="dxa"/>
        <w:bottom w:w="0" w:type="dxa"/>
        <w:right w:w="108" w:type="dxa"/>
      </w:tblCellMar>
    </w:tblPr>
    <w:tblStylePr w:type="firstRow">
      <w:pPr>
        <w:spacing w:before="0" w:after="0" w:line="240" w:lineRule="auto"/>
      </w:pPr>
      <w:rPr>
        <w:b/>
        <w:bCs/>
        <w:color w:themeColor="background1"/>
      </w:rPr>
      <w:tblPr/>
      <w:tcPr>
        <w:tcBorders>
          <w:top w:val="single" w:color="auto" w:sz="18" w:space="0"/>
          <w:left w:val="nil"/>
          <w:bottom w:val="single" w:color="auto" w:sz="18" w:space="0"/>
          <w:right w:val="nil"/>
          <w:insideH w:val="nil"/>
          <w:insideV w:val="nil"/>
        </w:tcBorders>
        <w:shd w:val="clear" w:color="auto" w:fill="F79646" w:themeFill="accent6"/>
      </w:tcPr>
    </w:tblStylePr>
    <w:tblStylePr w:type="lastRow">
      <w:pPr>
        <w:spacing w:before="0" w:after="0" w:line="240" w:lineRule="auto"/>
      </w:pPr>
      <w:tblPr/>
      <w:tcPr>
        <w:tcBorders>
          <w:top w:val="double" w:color="auto" w:sz="6" w:space="0"/>
          <w:left w:val="nil"/>
          <w:bottom w:val="single" w:color="auto" w:sz="18" w:space="0"/>
          <w:right w:val="nil"/>
          <w:insideH w:val="nil"/>
          <w:insideV w:val="nil"/>
        </w:tcBorders>
        <w:shd w:val="clear" w:color="auto" w:fill="FFFFFF" w:themeFill="background1"/>
      </w:tcPr>
    </w:tblStylePr>
    <w:tblStylePr w:type="firstCol">
      <w:rPr>
        <w:b/>
        <w:bCs/>
        <w:color w:themeColor="background1"/>
      </w:rPr>
      <w:tblPr/>
      <w:tcPr>
        <w:tcBorders>
          <w:top w:val="nil"/>
          <w:left w:val="nil"/>
          <w:bottom w:val="single" w:color="auto" w:sz="18" w:space="0"/>
          <w:right w:val="nil"/>
          <w:insideH w:val="nil"/>
          <w:insideV w:val="nil"/>
        </w:tcBorders>
        <w:shd w:val="clear" w:color="auto" w:fill="F79646" w:themeFill="accent6"/>
      </w:tcPr>
    </w:tblStylePr>
    <w:tblStylePr w:type="lastCol">
      <w:rPr>
        <w:b/>
        <w:bCs/>
        <w:color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color="auto" w:sz="18" w:space="0"/>
          <w:left w:val="nil"/>
          <w:bottom w:val="single" w:color="auto" w:sz="18" w:space="0"/>
          <w:right w:val="nil"/>
          <w:insideH w:val="nil"/>
          <w:insideV w:val="nil"/>
        </w:tcBorders>
      </w:tcPr>
    </w:tblStylePr>
    <w:tblStylePr w:type="nwCell">
      <w:rPr>
        <w:color w:themeColor="background1"/>
      </w:rPr>
      <w:tblPr/>
      <w:tcPr>
        <w:tcBorders>
          <w:top w:val="single" w:color="auto" w:sz="18" w:space="0"/>
          <w:left w:val="nil"/>
          <w:bottom w:val="single" w:color="auto" w:sz="18" w:space="0"/>
          <w:right w:val="nil"/>
          <w:insideH w:val="nil"/>
          <w:insideV w:val="nil"/>
        </w:tcBorders>
      </w:tcPr>
    </w:tblStylePr>
  </w:style>
  <w:style w:type="table" w:styleId="MediumList1">
    <w:name w:val="Medium List 1"/>
    <w:basedOn w:val="TableNormal"/>
    <w:uiPriority w:val="65"/>
    <w:rsid w:val="00cb0664"/>
    <w:pPr>
      <w:spacing w:after="0" w:line="240" w:lineRule="auto"/>
    </w:pPr>
    <w:rPr>
      <w:color w:themeColor="text1"/>
    </w:rPr>
    <w:tblPr>
      <w:tblStyleRowBandSize w:val="1"/>
      <w:tblStyleColBandSize w:val="1"/>
      <w:tblBorders>
        <w:top w:val="single" w:color="000000" w:themeColor="text1" w:sz="8" w:space="0"/>
        <w:bottom w:val="single" w:color="000000" w:themeColor="text1" w:sz="8" w:space="0"/>
      </w:tblBorders>
      <w:tblCellMar>
        <w:top w:w="0" w:type="dxa"/>
        <w:left w:w="108" w:type="dxa"/>
        <w:bottom w:w="0" w:type="dxa"/>
        <w:right w:w="108" w:type="dxa"/>
      </w:tblCellMar>
    </w:tblPr>
    <w:tblStylePr w:type="firstRow">
      <w:rPr>
        <w:rFonts w:asciiTheme="majorHAnsi" w:hAnsiTheme="majorHAnsi" w:eastAsiaTheme="majorEastAsia" w:cstheme="majorBidi"/>
      </w:rPr>
      <w:tblPr/>
      <w:tcPr>
        <w:tcBorders>
          <w:top w:val="nil"/>
          <w:bottom w:val="single" w:color="000000" w:themeColor="text1" w:sz="8" w:space="0"/>
        </w:tcBorders>
      </w:tcPr>
    </w:tblStylePr>
    <w:tblStylePr w:type="lastRow">
      <w:rPr>
        <w:b/>
        <w:bCs/>
        <w:color w:themeColor="text2"/>
      </w:rPr>
      <w:tblPr/>
      <w:tcPr>
        <w:tcBorders>
          <w:top w:val="single" w:color="000000" w:themeColor="text1" w:sz="8" w:space="0"/>
          <w:bottom w:val="single" w:color="000000" w:themeColor="text1" w:sz="8" w:space="0"/>
        </w:tcBorders>
      </w:tcPr>
    </w:tblStylePr>
    <w:tblStylePr w:type="firstCol">
      <w:rPr>
        <w:b/>
        <w:bCs/>
      </w:rPr>
      <w:tblPr/>
    </w:tblStylePr>
    <w:tblStylePr w:type="lastCol">
      <w:rPr>
        <w:b/>
        <w:bCs/>
      </w:rPr>
      <w:tblPr/>
      <w:tcPr>
        <w:tcBorders>
          <w:top w:val="single" w:color="000000" w:themeColor="text1" w:sz="8" w:space="0"/>
          <w:bottom w:val="single" w:color="000000" w:themeColor="text1" w:sz="8" w:space="0"/>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rsid w:val="00cb0664"/>
    <w:pPr>
      <w:spacing w:after="0" w:line="240" w:lineRule="auto"/>
    </w:pPr>
    <w:rPr>
      <w:color w:themeColor="text1"/>
    </w:rPr>
    <w:tblPr>
      <w:tblStyleRowBandSize w:val="1"/>
      <w:tblStyleColBandSize w:val="1"/>
      <w:tblBorders>
        <w:top w:val="single" w:color="4F81BD" w:themeColor="accent1" w:sz="8" w:space="0"/>
        <w:bottom w:val="single" w:color="4F81BD" w:themeColor="accent1" w:sz="8" w:space="0"/>
      </w:tblBorders>
      <w:tblCellMar>
        <w:top w:w="0" w:type="dxa"/>
        <w:left w:w="108" w:type="dxa"/>
        <w:bottom w:w="0" w:type="dxa"/>
        <w:right w:w="108" w:type="dxa"/>
      </w:tblCellMar>
    </w:tblPr>
    <w:tblStylePr w:type="firstRow">
      <w:rPr>
        <w:rFonts w:asciiTheme="majorHAnsi" w:hAnsiTheme="majorHAnsi" w:eastAsiaTheme="majorEastAsia" w:cstheme="majorBidi"/>
      </w:rPr>
      <w:tblPr/>
      <w:tcPr>
        <w:tcBorders>
          <w:top w:val="nil"/>
          <w:bottom w:val="single" w:color="4F81BD" w:themeColor="accent1" w:sz="8" w:space="0"/>
        </w:tcBorders>
      </w:tcPr>
    </w:tblStylePr>
    <w:tblStylePr w:type="lastRow">
      <w:rPr>
        <w:b/>
        <w:bCs/>
        <w:color w:themeColor="text2"/>
      </w:rPr>
      <w:tblPr/>
      <w:tcPr>
        <w:tcBorders>
          <w:top w:val="single" w:color="4F81BD" w:themeColor="accent1" w:sz="8" w:space="0"/>
          <w:bottom w:val="single" w:color="4F81BD" w:themeColor="accent1" w:sz="8" w:space="0"/>
        </w:tcBorders>
      </w:tcPr>
    </w:tblStylePr>
    <w:tblStylePr w:type="firstCol">
      <w:rPr>
        <w:b/>
        <w:bCs/>
      </w:rPr>
      <w:tblPr/>
    </w:tblStylePr>
    <w:tblStylePr w:type="lastCol">
      <w:rPr>
        <w:b/>
        <w:bCs/>
      </w:rPr>
      <w:tblPr/>
      <w:tcPr>
        <w:tcBorders>
          <w:top w:val="single" w:color="4F81BD" w:themeColor="accent1" w:sz="8" w:space="0"/>
          <w:bottom w:val="single" w:color="4F81BD" w:themeColor="accent1" w:sz="8" w:space="0"/>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MediumList1-Accent2">
    <w:name w:val="Medium List 1 Accent 2"/>
    <w:basedOn w:val="TableNormal"/>
    <w:uiPriority w:val="65"/>
    <w:rsid w:val="00cb0664"/>
    <w:pPr>
      <w:spacing w:after="0" w:line="240" w:lineRule="auto"/>
    </w:pPr>
    <w:rPr>
      <w:color w:themeColor="text1"/>
    </w:rPr>
    <w:tblPr>
      <w:tblStyleRowBandSize w:val="1"/>
      <w:tblStyleColBandSize w:val="1"/>
      <w:tblBorders>
        <w:top w:val="single" w:color="C0504D" w:themeColor="accent2" w:sz="8" w:space="0"/>
        <w:bottom w:val="single" w:color="C0504D" w:themeColor="accent2" w:sz="8" w:space="0"/>
      </w:tblBorders>
      <w:tblCellMar>
        <w:top w:w="0" w:type="dxa"/>
        <w:left w:w="108" w:type="dxa"/>
        <w:bottom w:w="0" w:type="dxa"/>
        <w:right w:w="108" w:type="dxa"/>
      </w:tblCellMar>
    </w:tblPr>
    <w:tblStylePr w:type="firstRow">
      <w:rPr>
        <w:rFonts w:asciiTheme="majorHAnsi" w:hAnsiTheme="majorHAnsi" w:eastAsiaTheme="majorEastAsia" w:cstheme="majorBidi"/>
      </w:rPr>
      <w:tblPr/>
      <w:tcPr>
        <w:tcBorders>
          <w:top w:val="nil"/>
          <w:bottom w:val="single" w:color="C0504D" w:themeColor="accent2" w:sz="8" w:space="0"/>
        </w:tcBorders>
      </w:tcPr>
    </w:tblStylePr>
    <w:tblStylePr w:type="lastRow">
      <w:rPr>
        <w:b/>
        <w:bCs/>
        <w:color w:themeColor="text2"/>
      </w:rPr>
      <w:tblPr/>
      <w:tcPr>
        <w:tcBorders>
          <w:top w:val="single" w:color="C0504D" w:themeColor="accent2" w:sz="8" w:space="0"/>
          <w:bottom w:val="single" w:color="C0504D" w:themeColor="accent2" w:sz="8" w:space="0"/>
        </w:tcBorders>
      </w:tcPr>
    </w:tblStylePr>
    <w:tblStylePr w:type="firstCol">
      <w:rPr>
        <w:b/>
        <w:bCs/>
      </w:rPr>
      <w:tblPr/>
    </w:tblStylePr>
    <w:tblStylePr w:type="lastCol">
      <w:rPr>
        <w:b/>
        <w:bCs/>
      </w:rPr>
      <w:tblPr/>
      <w:tcPr>
        <w:tcBorders>
          <w:top w:val="single" w:color="C0504D" w:themeColor="accent2" w:sz="8" w:space="0"/>
          <w:bottom w:val="single" w:color="C0504D" w:themeColor="accent2" w:sz="8" w:space="0"/>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MediumList1-Accent3">
    <w:name w:val="Medium List 1 Accent 3"/>
    <w:basedOn w:val="TableNormal"/>
    <w:uiPriority w:val="65"/>
    <w:rsid w:val="00cb0664"/>
    <w:pPr>
      <w:spacing w:after="0" w:line="240" w:lineRule="auto"/>
    </w:pPr>
    <w:rPr>
      <w:color w:themeColor="text1"/>
    </w:rPr>
    <w:tblPr>
      <w:tblStyleRowBandSize w:val="1"/>
      <w:tblStyleColBandSize w:val="1"/>
      <w:tblBorders>
        <w:top w:val="single" w:color="9BBB59" w:themeColor="accent3" w:sz="8" w:space="0"/>
        <w:bottom w:val="single" w:color="9BBB59" w:themeColor="accent3" w:sz="8" w:space="0"/>
      </w:tblBorders>
      <w:tblCellMar>
        <w:top w:w="0" w:type="dxa"/>
        <w:left w:w="108" w:type="dxa"/>
        <w:bottom w:w="0" w:type="dxa"/>
        <w:right w:w="108" w:type="dxa"/>
      </w:tblCellMar>
    </w:tblPr>
    <w:tblStylePr w:type="firstRow">
      <w:rPr>
        <w:rFonts w:asciiTheme="majorHAnsi" w:hAnsiTheme="majorHAnsi" w:eastAsiaTheme="majorEastAsia" w:cstheme="majorBidi"/>
      </w:rPr>
      <w:tblPr/>
      <w:tcPr>
        <w:tcBorders>
          <w:top w:val="nil"/>
          <w:bottom w:val="single" w:color="9BBB59" w:themeColor="accent3" w:sz="8" w:space="0"/>
        </w:tcBorders>
      </w:tcPr>
    </w:tblStylePr>
    <w:tblStylePr w:type="lastRow">
      <w:rPr>
        <w:b/>
        <w:bCs/>
        <w:color w:themeColor="text2"/>
      </w:rPr>
      <w:tblPr/>
      <w:tcPr>
        <w:tcBorders>
          <w:top w:val="single" w:color="9BBB59" w:themeColor="accent3" w:sz="8" w:space="0"/>
          <w:bottom w:val="single" w:color="9BBB59" w:themeColor="accent3" w:sz="8" w:space="0"/>
        </w:tcBorders>
      </w:tcPr>
    </w:tblStylePr>
    <w:tblStylePr w:type="firstCol">
      <w:rPr>
        <w:b/>
        <w:bCs/>
      </w:rPr>
      <w:tblPr/>
    </w:tblStylePr>
    <w:tblStylePr w:type="lastCol">
      <w:rPr>
        <w:b/>
        <w:bCs/>
      </w:rPr>
      <w:tblPr/>
      <w:tcPr>
        <w:tcBorders>
          <w:top w:val="single" w:color="9BBB59" w:themeColor="accent3" w:sz="8" w:space="0"/>
          <w:bottom w:val="single" w:color="9BBB59" w:themeColor="accent3" w:sz="8" w:space="0"/>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MediumList1-Accent4">
    <w:name w:val="Medium List 1 Accent 4"/>
    <w:basedOn w:val="TableNormal"/>
    <w:uiPriority w:val="65"/>
    <w:rsid w:val="00cb0664"/>
    <w:pPr>
      <w:spacing w:after="0" w:line="240" w:lineRule="auto"/>
    </w:pPr>
    <w:rPr>
      <w:color w:themeColor="text1"/>
    </w:rPr>
    <w:tblPr>
      <w:tblStyleRowBandSize w:val="1"/>
      <w:tblStyleColBandSize w:val="1"/>
      <w:tblBorders>
        <w:top w:val="single" w:color="8064A2" w:themeColor="accent4" w:sz="8" w:space="0"/>
        <w:bottom w:val="single" w:color="8064A2" w:themeColor="accent4" w:sz="8" w:space="0"/>
      </w:tblBorders>
      <w:tblCellMar>
        <w:top w:w="0" w:type="dxa"/>
        <w:left w:w="108" w:type="dxa"/>
        <w:bottom w:w="0" w:type="dxa"/>
        <w:right w:w="108" w:type="dxa"/>
      </w:tblCellMar>
    </w:tblPr>
    <w:tblStylePr w:type="firstRow">
      <w:rPr>
        <w:rFonts w:asciiTheme="majorHAnsi" w:hAnsiTheme="majorHAnsi" w:eastAsiaTheme="majorEastAsia" w:cstheme="majorBidi"/>
      </w:rPr>
      <w:tblPr/>
      <w:tcPr>
        <w:tcBorders>
          <w:top w:val="nil"/>
          <w:bottom w:val="single" w:color="8064A2" w:themeColor="accent4" w:sz="8" w:space="0"/>
        </w:tcBorders>
      </w:tcPr>
    </w:tblStylePr>
    <w:tblStylePr w:type="lastRow">
      <w:rPr>
        <w:b/>
        <w:bCs/>
        <w:color w:themeColor="text2"/>
      </w:rPr>
      <w:tblPr/>
      <w:tcPr>
        <w:tcBorders>
          <w:top w:val="single" w:color="8064A2" w:themeColor="accent4" w:sz="8" w:space="0"/>
          <w:bottom w:val="single" w:color="8064A2" w:themeColor="accent4" w:sz="8" w:space="0"/>
        </w:tcBorders>
      </w:tcPr>
    </w:tblStylePr>
    <w:tblStylePr w:type="firstCol">
      <w:rPr>
        <w:b/>
        <w:bCs/>
      </w:rPr>
      <w:tblPr/>
    </w:tblStylePr>
    <w:tblStylePr w:type="lastCol">
      <w:rPr>
        <w:b/>
        <w:bCs/>
      </w:rPr>
      <w:tblPr/>
      <w:tcPr>
        <w:tcBorders>
          <w:top w:val="single" w:color="8064A2" w:themeColor="accent4" w:sz="8" w:space="0"/>
          <w:bottom w:val="single" w:color="8064A2" w:themeColor="accent4" w:sz="8" w:space="0"/>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MediumList1-Accent5">
    <w:name w:val="Medium List 1 Accent 5"/>
    <w:basedOn w:val="TableNormal"/>
    <w:uiPriority w:val="65"/>
    <w:rsid w:val="00cb0664"/>
    <w:pPr>
      <w:spacing w:after="0" w:line="240" w:lineRule="auto"/>
    </w:pPr>
    <w:rPr>
      <w:color w:themeColor="text1"/>
    </w:rPr>
    <w:tblPr>
      <w:tblStyleRowBandSize w:val="1"/>
      <w:tblStyleColBandSize w:val="1"/>
      <w:tblBorders>
        <w:top w:val="single" w:color="4BACC6" w:themeColor="accent5" w:sz="8" w:space="0"/>
        <w:bottom w:val="single" w:color="4BACC6" w:themeColor="accent5" w:sz="8" w:space="0"/>
      </w:tblBorders>
      <w:tblCellMar>
        <w:top w:w="0" w:type="dxa"/>
        <w:left w:w="108" w:type="dxa"/>
        <w:bottom w:w="0" w:type="dxa"/>
        <w:right w:w="108" w:type="dxa"/>
      </w:tblCellMar>
    </w:tblPr>
    <w:tblStylePr w:type="firstRow">
      <w:rPr>
        <w:rFonts w:asciiTheme="majorHAnsi" w:hAnsiTheme="majorHAnsi" w:eastAsiaTheme="majorEastAsia" w:cstheme="majorBidi"/>
      </w:rPr>
      <w:tblPr/>
      <w:tcPr>
        <w:tcBorders>
          <w:top w:val="nil"/>
          <w:bottom w:val="single" w:color="4BACC6" w:themeColor="accent5" w:sz="8" w:space="0"/>
        </w:tcBorders>
      </w:tcPr>
    </w:tblStylePr>
    <w:tblStylePr w:type="lastRow">
      <w:rPr>
        <w:b/>
        <w:bCs/>
        <w:color w:themeColor="text2"/>
      </w:rPr>
      <w:tblPr/>
      <w:tcPr>
        <w:tcBorders>
          <w:top w:val="single" w:color="4BACC6" w:themeColor="accent5" w:sz="8" w:space="0"/>
          <w:bottom w:val="single" w:color="4BACC6" w:themeColor="accent5" w:sz="8" w:space="0"/>
        </w:tcBorders>
      </w:tcPr>
    </w:tblStylePr>
    <w:tblStylePr w:type="firstCol">
      <w:rPr>
        <w:b/>
        <w:bCs/>
      </w:rPr>
      <w:tblPr/>
    </w:tblStylePr>
    <w:tblStylePr w:type="lastCol">
      <w:rPr>
        <w:b/>
        <w:bCs/>
      </w:rPr>
      <w:tblPr/>
      <w:tcPr>
        <w:tcBorders>
          <w:top w:val="single" w:color="4BACC6" w:themeColor="accent5" w:sz="8" w:space="0"/>
          <w:bottom w:val="single" w:color="4BACC6" w:themeColor="accent5" w:sz="8" w:space="0"/>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MediumList1-Accent6">
    <w:name w:val="Medium List 1 Accent 6"/>
    <w:basedOn w:val="TableNormal"/>
    <w:uiPriority w:val="65"/>
    <w:rsid w:val="00cb0664"/>
    <w:pPr>
      <w:spacing w:after="0" w:line="240" w:lineRule="auto"/>
    </w:pPr>
    <w:rPr>
      <w:color w:themeColor="text1"/>
    </w:rPr>
    <w:tblPr>
      <w:tblStyleRowBandSize w:val="1"/>
      <w:tblStyleColBandSize w:val="1"/>
      <w:tblBorders>
        <w:top w:val="single" w:color="F79646" w:themeColor="accent6" w:sz="8" w:space="0"/>
        <w:bottom w:val="single" w:color="F79646" w:themeColor="accent6" w:sz="8" w:space="0"/>
      </w:tblBorders>
      <w:tblCellMar>
        <w:top w:w="0" w:type="dxa"/>
        <w:left w:w="108" w:type="dxa"/>
        <w:bottom w:w="0" w:type="dxa"/>
        <w:right w:w="108" w:type="dxa"/>
      </w:tblCellMar>
    </w:tblPr>
    <w:tblStylePr w:type="firstRow">
      <w:rPr>
        <w:rFonts w:asciiTheme="majorHAnsi" w:hAnsiTheme="majorHAnsi" w:eastAsiaTheme="majorEastAsia" w:cstheme="majorBidi"/>
      </w:rPr>
      <w:tblPr/>
      <w:tcPr>
        <w:tcBorders>
          <w:top w:val="nil"/>
          <w:bottom w:val="single" w:color="F79646" w:themeColor="accent6" w:sz="8" w:space="0"/>
        </w:tcBorders>
      </w:tcPr>
    </w:tblStylePr>
    <w:tblStylePr w:type="lastRow">
      <w:rPr>
        <w:b/>
        <w:bCs/>
        <w:color w:themeColor="text2"/>
      </w:rPr>
      <w:tblPr/>
      <w:tcPr>
        <w:tcBorders>
          <w:top w:val="single" w:color="F79646" w:themeColor="accent6" w:sz="8" w:space="0"/>
          <w:bottom w:val="single" w:color="F79646" w:themeColor="accent6" w:sz="8" w:space="0"/>
        </w:tcBorders>
      </w:tcPr>
    </w:tblStylePr>
    <w:tblStylePr w:type="firstCol">
      <w:rPr>
        <w:b/>
        <w:bCs/>
      </w:rPr>
      <w:tblPr/>
    </w:tblStylePr>
    <w:tblStylePr w:type="lastCol">
      <w:rPr>
        <w:b/>
        <w:bCs/>
      </w:rPr>
      <w:tblPr/>
      <w:tcPr>
        <w:tcBorders>
          <w:top w:val="single" w:color="F79646" w:themeColor="accent6" w:sz="8" w:space="0"/>
          <w:bottom w:val="single" w:color="F79646" w:themeColor="accent6" w:sz="8" w:space="0"/>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MediumList2">
    <w:name w:val="Medium List 2"/>
    <w:basedOn w:val="TableNormal"/>
    <w:uiPriority w:val="66"/>
    <w:rsid w:val="00cb0664"/>
    <w:pPr>
      <w:spacing w:after="0" w:line="240" w:lineRule="auto"/>
    </w:pPr>
    <w:rPr>
      <w:rFonts w:asciiTheme="majorHAnsi" w:hAnsiTheme="majorHAnsi" w:eastAsiaTheme="majorEastAsia" w:cstheme="majorBidi"/>
      <w:color w:themeColor="text1"/>
    </w:rPr>
    <w:tblPr>
      <w:tblStyleRowBandSize w:val="1"/>
      <w:tblStyleColBandSize w:val="1"/>
      <w:tblBorders>
        <w:top w:val="single" w:color="000000" w:themeColor="text1" w:sz="8" w:space="0"/>
        <w:left w:val="single" w:color="000000" w:themeColor="text1" w:sz="8" w:space="0"/>
        <w:bottom w:val="single" w:color="000000" w:themeColor="text1" w:sz="8" w:space="0"/>
        <w:right w:val="single" w:color="000000" w:themeColor="text1" w:sz="8" w:space="0"/>
      </w:tblBorders>
      <w:tblCellMar>
        <w:top w:w="0" w:type="dxa"/>
        <w:left w:w="108" w:type="dxa"/>
        <w:bottom w:w="0" w:type="dxa"/>
        <w:right w:w="108" w:type="dxa"/>
      </w:tblCellMar>
    </w:tblPr>
    <w:tblStylePr w:type="firstRow">
      <w:rPr>
        <w:sz w:val="24"/>
        <w:szCs w:val="24"/>
      </w:rPr>
      <w:tblPr/>
      <w:tcPr>
        <w:tcBorders>
          <w:top w:val="nil"/>
          <w:left w:val="nil"/>
          <w:bottom w:val="single" w:color="000000" w:themeColor="text1" w:sz="24" w:space="0"/>
          <w:right w:val="nil"/>
          <w:insideH w:val="nil"/>
          <w:insideV w:val="nil"/>
        </w:tcBorders>
        <w:shd w:val="clear" w:color="auto" w:fill="FFFFFF" w:themeFill="background1"/>
      </w:tcPr>
    </w:tblStylePr>
    <w:tblStylePr w:type="lastRow">
      <w:tblPr/>
      <w:tcPr>
        <w:tcBorders>
          <w:top w:val="single" w:color="000000" w:themeColor="text1" w:sz="8" w:space="0"/>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color="000000" w:themeColor="text1" w:sz="8" w:space="0"/>
          <w:insideH w:val="nil"/>
          <w:insideV w:val="nil"/>
        </w:tcBorders>
        <w:shd w:val="clear" w:color="auto" w:fill="FFFFFF" w:themeFill="background1"/>
      </w:tcPr>
    </w:tblStylePr>
    <w:tblStylePr w:type="lastCol">
      <w:tblPr/>
      <w:tcPr>
        <w:tcBorders>
          <w:top w:val="nil"/>
          <w:left w:val="single" w:color="000000" w:themeColor="text1" w:sz="8" w:space="0"/>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rsid w:val="00cb0664"/>
    <w:pPr>
      <w:spacing w:after="0" w:line="240" w:lineRule="auto"/>
    </w:pPr>
    <w:rPr>
      <w:rFonts w:asciiTheme="majorHAnsi" w:hAnsiTheme="majorHAnsi" w:eastAsiaTheme="majorEastAsia" w:cstheme="majorBidi"/>
      <w:color w:themeColor="text1"/>
    </w:rPr>
    <w:tblPr>
      <w:tblStyleRowBandSize w:val="1"/>
      <w:tblStyleColBandSize w:val="1"/>
      <w:tblBorders>
        <w:top w:val="single" w:color="4F81BD" w:themeColor="accent1" w:sz="8" w:space="0"/>
        <w:left w:val="single" w:color="4F81BD" w:themeColor="accent1" w:sz="8" w:space="0"/>
        <w:bottom w:val="single" w:color="4F81BD" w:themeColor="accent1" w:sz="8" w:space="0"/>
        <w:right w:val="single" w:color="4F81BD" w:themeColor="accent1" w:sz="8" w:space="0"/>
      </w:tblBorders>
      <w:tblCellMar>
        <w:top w:w="0" w:type="dxa"/>
        <w:left w:w="108" w:type="dxa"/>
        <w:bottom w:w="0" w:type="dxa"/>
        <w:right w:w="108" w:type="dxa"/>
      </w:tblCellMar>
    </w:tblPr>
    <w:tblStylePr w:type="firstRow">
      <w:rPr>
        <w:sz w:val="24"/>
        <w:szCs w:val="24"/>
      </w:rPr>
      <w:tblPr/>
      <w:tcPr>
        <w:tcBorders>
          <w:top w:val="nil"/>
          <w:left w:val="nil"/>
          <w:bottom w:val="single" w:color="4F81BD" w:themeColor="accent1" w:sz="24" w:space="0"/>
          <w:right w:val="nil"/>
          <w:insideH w:val="nil"/>
          <w:insideV w:val="nil"/>
        </w:tcBorders>
        <w:shd w:val="clear" w:color="auto" w:fill="FFFFFF" w:themeFill="background1"/>
      </w:tcPr>
    </w:tblStylePr>
    <w:tblStylePr w:type="lastRow">
      <w:tblPr/>
      <w:tcPr>
        <w:tcBorders>
          <w:top w:val="single" w:color="4F81BD" w:themeColor="accent1" w:sz="8" w:space="0"/>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color="4F81BD" w:themeColor="accent1" w:sz="8" w:space="0"/>
          <w:insideH w:val="nil"/>
          <w:insideV w:val="nil"/>
        </w:tcBorders>
        <w:shd w:val="clear" w:color="auto" w:fill="FFFFFF" w:themeFill="background1"/>
      </w:tcPr>
    </w:tblStylePr>
    <w:tblStylePr w:type="lastCol">
      <w:tblPr/>
      <w:tcPr>
        <w:tcBorders>
          <w:top w:val="nil"/>
          <w:left w:val="single" w:color="4F81BD" w:themeColor="accent1" w:sz="8" w:space="0"/>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rsid w:val="00cb0664"/>
    <w:pPr>
      <w:spacing w:after="0" w:line="240" w:lineRule="auto"/>
    </w:pPr>
    <w:rPr>
      <w:rFonts w:asciiTheme="majorHAnsi" w:hAnsiTheme="majorHAnsi" w:eastAsiaTheme="majorEastAsia" w:cstheme="majorBidi"/>
      <w:color w:themeColor="text1"/>
    </w:rPr>
    <w:tblPr>
      <w:tblStyleRowBandSize w:val="1"/>
      <w:tblStyleColBandSize w:val="1"/>
      <w:tblBorders>
        <w:top w:val="single" w:color="C0504D" w:themeColor="accent2" w:sz="8" w:space="0"/>
        <w:left w:val="single" w:color="C0504D" w:themeColor="accent2" w:sz="8" w:space="0"/>
        <w:bottom w:val="single" w:color="C0504D" w:themeColor="accent2" w:sz="8" w:space="0"/>
        <w:right w:val="single" w:color="C0504D" w:themeColor="accent2" w:sz="8" w:space="0"/>
      </w:tblBorders>
      <w:tblCellMar>
        <w:top w:w="0" w:type="dxa"/>
        <w:left w:w="108" w:type="dxa"/>
        <w:bottom w:w="0" w:type="dxa"/>
        <w:right w:w="108" w:type="dxa"/>
      </w:tblCellMar>
    </w:tblPr>
    <w:tblStylePr w:type="firstRow">
      <w:rPr>
        <w:sz w:val="24"/>
        <w:szCs w:val="24"/>
      </w:rPr>
      <w:tblPr/>
      <w:tcPr>
        <w:tcBorders>
          <w:top w:val="nil"/>
          <w:left w:val="nil"/>
          <w:bottom w:val="single" w:color="C0504D" w:themeColor="accent2" w:sz="24" w:space="0"/>
          <w:right w:val="nil"/>
          <w:insideH w:val="nil"/>
          <w:insideV w:val="nil"/>
        </w:tcBorders>
        <w:shd w:val="clear" w:color="auto" w:fill="FFFFFF" w:themeFill="background1"/>
      </w:tcPr>
    </w:tblStylePr>
    <w:tblStylePr w:type="lastRow">
      <w:tblPr/>
      <w:tcPr>
        <w:tcBorders>
          <w:top w:val="single" w:color="C0504D" w:themeColor="accent2" w:sz="8" w:space="0"/>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color="C0504D" w:themeColor="accent2" w:sz="8" w:space="0"/>
          <w:insideH w:val="nil"/>
          <w:insideV w:val="nil"/>
        </w:tcBorders>
        <w:shd w:val="clear" w:color="auto" w:fill="FFFFFF" w:themeFill="background1"/>
      </w:tcPr>
    </w:tblStylePr>
    <w:tblStylePr w:type="lastCol">
      <w:tblPr/>
      <w:tcPr>
        <w:tcBorders>
          <w:top w:val="nil"/>
          <w:left w:val="single" w:color="C0504D" w:themeColor="accent2" w:sz="8" w:space="0"/>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rsid w:val="00cb0664"/>
    <w:pPr>
      <w:spacing w:after="0" w:line="240" w:lineRule="auto"/>
    </w:pPr>
    <w:rPr>
      <w:rFonts w:asciiTheme="majorHAnsi" w:hAnsiTheme="majorHAnsi" w:eastAsiaTheme="majorEastAsia" w:cstheme="majorBidi"/>
      <w:color w:themeColor="text1"/>
    </w:rPr>
    <w:tblPr>
      <w:tblStyleRowBandSize w:val="1"/>
      <w:tblStyleColBandSize w:val="1"/>
      <w:tblBorders>
        <w:top w:val="single" w:color="9BBB59" w:themeColor="accent3" w:sz="8" w:space="0"/>
        <w:left w:val="single" w:color="9BBB59" w:themeColor="accent3" w:sz="8" w:space="0"/>
        <w:bottom w:val="single" w:color="9BBB59" w:themeColor="accent3" w:sz="8" w:space="0"/>
        <w:right w:val="single" w:color="9BBB59" w:themeColor="accent3" w:sz="8" w:space="0"/>
      </w:tblBorders>
      <w:tblCellMar>
        <w:top w:w="0" w:type="dxa"/>
        <w:left w:w="108" w:type="dxa"/>
        <w:bottom w:w="0" w:type="dxa"/>
        <w:right w:w="108" w:type="dxa"/>
      </w:tblCellMar>
    </w:tblPr>
    <w:tblStylePr w:type="firstRow">
      <w:rPr>
        <w:sz w:val="24"/>
        <w:szCs w:val="24"/>
      </w:rPr>
      <w:tblPr/>
      <w:tcPr>
        <w:tcBorders>
          <w:top w:val="nil"/>
          <w:left w:val="nil"/>
          <w:bottom w:val="single" w:color="9BBB59" w:themeColor="accent3" w:sz="24" w:space="0"/>
          <w:right w:val="nil"/>
          <w:insideH w:val="nil"/>
          <w:insideV w:val="nil"/>
        </w:tcBorders>
        <w:shd w:val="clear" w:color="auto" w:fill="FFFFFF" w:themeFill="background1"/>
      </w:tcPr>
    </w:tblStylePr>
    <w:tblStylePr w:type="lastRow">
      <w:tblPr/>
      <w:tcPr>
        <w:tcBorders>
          <w:top w:val="single" w:color="9BBB59" w:themeColor="accent3" w:sz="8" w:space="0"/>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color="9BBB59" w:themeColor="accent3" w:sz="8" w:space="0"/>
          <w:insideH w:val="nil"/>
          <w:insideV w:val="nil"/>
        </w:tcBorders>
        <w:shd w:val="clear" w:color="auto" w:fill="FFFFFF" w:themeFill="background1"/>
      </w:tcPr>
    </w:tblStylePr>
    <w:tblStylePr w:type="lastCol">
      <w:tblPr/>
      <w:tcPr>
        <w:tcBorders>
          <w:top w:val="nil"/>
          <w:left w:val="single" w:color="9BBB59" w:themeColor="accent3" w:sz="8" w:space="0"/>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rsid w:val="00cb0664"/>
    <w:pPr>
      <w:spacing w:after="0" w:line="240" w:lineRule="auto"/>
    </w:pPr>
    <w:rPr>
      <w:rFonts w:asciiTheme="majorHAnsi" w:hAnsiTheme="majorHAnsi" w:eastAsiaTheme="majorEastAsia" w:cstheme="majorBidi"/>
      <w:color w:themeColor="text1"/>
    </w:rPr>
    <w:tblPr>
      <w:tblStyleRowBandSize w:val="1"/>
      <w:tblStyleColBandSize w:val="1"/>
      <w:tblBorders>
        <w:top w:val="single" w:color="8064A2" w:themeColor="accent4" w:sz="8" w:space="0"/>
        <w:left w:val="single" w:color="8064A2" w:themeColor="accent4" w:sz="8" w:space="0"/>
        <w:bottom w:val="single" w:color="8064A2" w:themeColor="accent4" w:sz="8" w:space="0"/>
        <w:right w:val="single" w:color="8064A2" w:themeColor="accent4" w:sz="8" w:space="0"/>
      </w:tblBorders>
      <w:tblCellMar>
        <w:top w:w="0" w:type="dxa"/>
        <w:left w:w="108" w:type="dxa"/>
        <w:bottom w:w="0" w:type="dxa"/>
        <w:right w:w="108" w:type="dxa"/>
      </w:tblCellMar>
    </w:tblPr>
    <w:tblStylePr w:type="firstRow">
      <w:rPr>
        <w:sz w:val="24"/>
        <w:szCs w:val="24"/>
      </w:rPr>
      <w:tblPr/>
      <w:tcPr>
        <w:tcBorders>
          <w:top w:val="nil"/>
          <w:left w:val="nil"/>
          <w:bottom w:val="single" w:color="8064A2" w:themeColor="accent4" w:sz="24" w:space="0"/>
          <w:right w:val="nil"/>
          <w:insideH w:val="nil"/>
          <w:insideV w:val="nil"/>
        </w:tcBorders>
        <w:shd w:val="clear" w:color="auto" w:fill="FFFFFF" w:themeFill="background1"/>
      </w:tcPr>
    </w:tblStylePr>
    <w:tblStylePr w:type="lastRow">
      <w:tblPr/>
      <w:tcPr>
        <w:tcBorders>
          <w:top w:val="single" w:color="8064A2" w:themeColor="accent4" w:sz="8" w:space="0"/>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color="8064A2" w:themeColor="accent4" w:sz="8" w:space="0"/>
          <w:insideH w:val="nil"/>
          <w:insideV w:val="nil"/>
        </w:tcBorders>
        <w:shd w:val="clear" w:color="auto" w:fill="FFFFFF" w:themeFill="background1"/>
      </w:tcPr>
    </w:tblStylePr>
    <w:tblStylePr w:type="lastCol">
      <w:tblPr/>
      <w:tcPr>
        <w:tcBorders>
          <w:top w:val="nil"/>
          <w:left w:val="single" w:color="8064A2" w:themeColor="accent4" w:sz="8" w:space="0"/>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rsid w:val="00cb0664"/>
    <w:pPr>
      <w:spacing w:after="0" w:line="240" w:lineRule="auto"/>
    </w:pPr>
    <w:rPr>
      <w:rFonts w:asciiTheme="majorHAnsi" w:hAnsiTheme="majorHAnsi" w:eastAsiaTheme="majorEastAsia" w:cstheme="majorBidi"/>
      <w:color w:themeColor="text1"/>
    </w:rPr>
    <w:tblPr>
      <w:tblStyleRowBandSize w:val="1"/>
      <w:tblStyleColBandSize w:val="1"/>
      <w:tblBorders>
        <w:top w:val="single" w:color="4BACC6" w:themeColor="accent5" w:sz="8" w:space="0"/>
        <w:left w:val="single" w:color="4BACC6" w:themeColor="accent5" w:sz="8" w:space="0"/>
        <w:bottom w:val="single" w:color="4BACC6" w:themeColor="accent5" w:sz="8" w:space="0"/>
        <w:right w:val="single" w:color="4BACC6" w:themeColor="accent5" w:sz="8" w:space="0"/>
      </w:tblBorders>
      <w:tblCellMar>
        <w:top w:w="0" w:type="dxa"/>
        <w:left w:w="108" w:type="dxa"/>
        <w:bottom w:w="0" w:type="dxa"/>
        <w:right w:w="108" w:type="dxa"/>
      </w:tblCellMar>
    </w:tblPr>
    <w:tblStylePr w:type="firstRow">
      <w:rPr>
        <w:sz w:val="24"/>
        <w:szCs w:val="24"/>
      </w:rPr>
      <w:tblPr/>
      <w:tcPr>
        <w:tcBorders>
          <w:top w:val="nil"/>
          <w:left w:val="nil"/>
          <w:bottom w:val="single" w:color="4BACC6" w:themeColor="accent5" w:sz="24" w:space="0"/>
          <w:right w:val="nil"/>
          <w:insideH w:val="nil"/>
          <w:insideV w:val="nil"/>
        </w:tcBorders>
        <w:shd w:val="clear" w:color="auto" w:fill="FFFFFF" w:themeFill="background1"/>
      </w:tcPr>
    </w:tblStylePr>
    <w:tblStylePr w:type="lastRow">
      <w:tblPr/>
      <w:tcPr>
        <w:tcBorders>
          <w:top w:val="single" w:color="4BACC6" w:themeColor="accent5" w:sz="8" w:space="0"/>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color="4BACC6" w:themeColor="accent5" w:sz="8" w:space="0"/>
          <w:insideH w:val="nil"/>
          <w:insideV w:val="nil"/>
        </w:tcBorders>
        <w:shd w:val="clear" w:color="auto" w:fill="FFFFFF" w:themeFill="background1"/>
      </w:tcPr>
    </w:tblStylePr>
    <w:tblStylePr w:type="lastCol">
      <w:tblPr/>
      <w:tcPr>
        <w:tcBorders>
          <w:top w:val="nil"/>
          <w:left w:val="single" w:color="4BACC6" w:themeColor="accent5" w:sz="8" w:space="0"/>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rsid w:val="00cb0664"/>
    <w:pPr>
      <w:spacing w:after="0" w:line="240" w:lineRule="auto"/>
    </w:pPr>
    <w:rPr>
      <w:rFonts w:asciiTheme="majorHAnsi" w:hAnsiTheme="majorHAnsi" w:eastAsiaTheme="majorEastAsia" w:cstheme="majorBidi"/>
      <w:color w:themeColor="text1"/>
    </w:rPr>
    <w:tblPr>
      <w:tblStyleRowBandSize w:val="1"/>
      <w:tblStyleColBandSize w:val="1"/>
      <w:tblBorders>
        <w:top w:val="single" w:color="F79646" w:themeColor="accent6" w:sz="8" w:space="0"/>
        <w:left w:val="single" w:color="F79646" w:themeColor="accent6" w:sz="8" w:space="0"/>
        <w:bottom w:val="single" w:color="F79646" w:themeColor="accent6" w:sz="8" w:space="0"/>
        <w:right w:val="single" w:color="F79646" w:themeColor="accent6" w:sz="8" w:space="0"/>
      </w:tblBorders>
      <w:tblCellMar>
        <w:top w:w="0" w:type="dxa"/>
        <w:left w:w="108" w:type="dxa"/>
        <w:bottom w:w="0" w:type="dxa"/>
        <w:right w:w="108" w:type="dxa"/>
      </w:tblCellMar>
    </w:tblPr>
    <w:tblStylePr w:type="firstRow">
      <w:rPr>
        <w:sz w:val="24"/>
        <w:szCs w:val="24"/>
      </w:rPr>
      <w:tblPr/>
      <w:tcPr>
        <w:tcBorders>
          <w:top w:val="nil"/>
          <w:left w:val="nil"/>
          <w:bottom w:val="single" w:color="F79646" w:themeColor="accent6" w:sz="24" w:space="0"/>
          <w:right w:val="nil"/>
          <w:insideH w:val="nil"/>
          <w:insideV w:val="nil"/>
        </w:tcBorders>
        <w:shd w:val="clear" w:color="auto" w:fill="FFFFFF" w:themeFill="background1"/>
      </w:tcPr>
    </w:tblStylePr>
    <w:tblStylePr w:type="lastRow">
      <w:tblPr/>
      <w:tcPr>
        <w:tcBorders>
          <w:top w:val="single" w:color="F79646" w:themeColor="accent6" w:sz="8" w:space="0"/>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color="F79646" w:themeColor="accent6" w:sz="8" w:space="0"/>
          <w:insideH w:val="nil"/>
          <w:insideV w:val="nil"/>
        </w:tcBorders>
        <w:shd w:val="clear" w:color="auto" w:fill="FFFFFF" w:themeFill="background1"/>
      </w:tcPr>
    </w:tblStylePr>
    <w:tblStylePr w:type="lastCol">
      <w:tblPr/>
      <w:tcPr>
        <w:tcBorders>
          <w:top w:val="nil"/>
          <w:left w:val="single" w:color="F79646" w:themeColor="accent6" w:sz="8" w:space="0"/>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Grid1">
    <w:name w:val="Medium Grid 1"/>
    <w:basedOn w:val="TableNormal"/>
    <w:uiPriority w:val="67"/>
    <w:rsid w:val="00cb0664"/>
    <w:pPr>
      <w:spacing w:after="0" w:line="240" w:lineRule="auto"/>
    </w:pPr>
    <w:tblPr>
      <w:tblStyleRowBandSize w:val="1"/>
      <w:tblStyleColBandSize w:val="1"/>
      <w:tblBorders>
        <w:top w:val="single" w:color="404040" w:themeColor="text1" w:themeTint="bf" w:sz="8" w:space="0"/>
        <w:left w:val="single" w:color="404040" w:themeColor="text1" w:themeTint="bf" w:sz="8" w:space="0"/>
        <w:bottom w:val="single" w:color="404040" w:themeColor="text1" w:themeTint="bf" w:sz="8" w:space="0"/>
        <w:right w:val="single" w:color="404040" w:themeColor="text1" w:themeTint="bf" w:sz="8" w:space="0"/>
        <w:insideH w:val="single" w:color="404040" w:themeColor="text1" w:themeTint="bf" w:sz="8" w:space="0"/>
        <w:insideV w:val="single" w:color="404040" w:themeColor="text1" w:themeTint="bf" w:sz="8" w:space="0"/>
      </w:tblBorders>
      <w:tblCellMar>
        <w:top w:w="0" w:type="dxa"/>
        <w:left w:w="108" w:type="dxa"/>
        <w:bottom w:w="0" w:type="dxa"/>
        <w:right w:w="108" w:type="dxa"/>
      </w:tblCellMar>
    </w:tblPr>
    <w:tcPr>
      <w:shd w:val="clear" w:color="auto" w:fill="C0C0C0" w:themeFill="text1" w:themeFillTint="3f"/>
    </w:tcPr>
    <w:tblStylePr w:type="firstRow">
      <w:rPr>
        <w:b/>
        <w:bCs/>
      </w:rPr>
      <w:tblPr/>
    </w:tblStylePr>
    <w:tblStylePr w:type="lastRow">
      <w:rPr>
        <w:b/>
        <w:bCs/>
      </w:rPr>
      <w:tblPr/>
      <w:tcPr>
        <w:tcBorders>
          <w:top w:val="single" w:color="404040" w:themeColor="text1" w:sz="18" w:space="0"/>
        </w:tcBorders>
      </w:tcPr>
    </w:tblStylePr>
    <w:tblStylePr w:type="firstCol">
      <w:rPr>
        <w:b/>
        <w:bCs/>
      </w:rPr>
      <w:tblPr/>
    </w:tblStylePr>
    <w:tblStylePr w:type="lastCol">
      <w:rPr>
        <w:b/>
        <w:bCs/>
      </w:rPr>
      <w:tbl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rsid w:val="00cb0664"/>
    <w:pPr>
      <w:spacing w:after="0" w:line="240" w:lineRule="auto"/>
    </w:pPr>
    <w:tblPr>
      <w:tblStyleRowBandSize w:val="1"/>
      <w:tblStyleColBandSize w:val="1"/>
      <w:tblBorders>
        <w:top w:val="single" w:color="7BA0CD" w:themeColor="accent1" w:themeTint="bf" w:sz="8" w:space="0"/>
        <w:left w:val="single" w:color="7BA0CD" w:themeColor="accent1" w:themeTint="bf" w:sz="8" w:space="0"/>
        <w:bottom w:val="single" w:color="7BA0CD" w:themeColor="accent1" w:themeTint="bf" w:sz="8" w:space="0"/>
        <w:right w:val="single" w:color="7BA0CD" w:themeColor="accent1" w:themeTint="bf" w:sz="8" w:space="0"/>
        <w:insideH w:val="single" w:color="7BA0CD" w:themeColor="accent1" w:themeTint="bf" w:sz="8" w:space="0"/>
        <w:insideV w:val="single" w:color="7BA0CD" w:themeColor="accent1" w:themeTint="bf" w:sz="8" w:space="0"/>
      </w:tblBorders>
      <w:tblCellMar>
        <w:top w:w="0" w:type="dxa"/>
        <w:left w:w="108" w:type="dxa"/>
        <w:bottom w:w="0" w:type="dxa"/>
        <w:right w:w="108" w:type="dxa"/>
      </w:tblCellMar>
    </w:tblPr>
    <w:tcPr>
      <w:shd w:val="clear" w:color="auto" w:fill="D3DFEE" w:themeFill="accent1" w:themeFillTint="3f"/>
    </w:tcPr>
    <w:tblStylePr w:type="firstRow">
      <w:rPr>
        <w:b/>
        <w:bCs/>
      </w:rPr>
      <w:tblPr/>
    </w:tblStylePr>
    <w:tblStylePr w:type="lastRow">
      <w:rPr>
        <w:b/>
        <w:bCs/>
      </w:rPr>
      <w:tblPr/>
      <w:tcPr>
        <w:tcBorders>
          <w:top w:val="single" w:color="7BA0CD" w:themeColor="accent1" w:sz="18" w:space="0"/>
        </w:tcBorders>
      </w:tcPr>
    </w:tblStylePr>
    <w:tblStylePr w:type="firstCol">
      <w:rPr>
        <w:b/>
        <w:bCs/>
      </w:rPr>
      <w:tblPr/>
    </w:tblStylePr>
    <w:tblStylePr w:type="lastCol">
      <w:rPr>
        <w:b/>
        <w:bCs/>
      </w:rPr>
      <w:tbl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MediumGrid1-Accent2">
    <w:name w:val="Medium Grid 1 Accent 2"/>
    <w:basedOn w:val="TableNormal"/>
    <w:uiPriority w:val="67"/>
    <w:rsid w:val="00cb0664"/>
    <w:pPr>
      <w:spacing w:after="0" w:line="240" w:lineRule="auto"/>
    </w:pPr>
    <w:tblPr>
      <w:tblStyleRowBandSize w:val="1"/>
      <w:tblStyleColBandSize w:val="1"/>
      <w:tblBorders>
        <w:top w:val="single" w:color="CF7B79" w:themeColor="accent2" w:themeTint="bf" w:sz="8" w:space="0"/>
        <w:left w:val="single" w:color="CF7B79" w:themeColor="accent2" w:themeTint="bf" w:sz="8" w:space="0"/>
        <w:bottom w:val="single" w:color="CF7B79" w:themeColor="accent2" w:themeTint="bf" w:sz="8" w:space="0"/>
        <w:right w:val="single" w:color="CF7B79" w:themeColor="accent2" w:themeTint="bf" w:sz="8" w:space="0"/>
        <w:insideH w:val="single" w:color="CF7B79" w:themeColor="accent2" w:themeTint="bf" w:sz="8" w:space="0"/>
        <w:insideV w:val="single" w:color="CF7B79" w:themeColor="accent2" w:themeTint="bf" w:sz="8" w:space="0"/>
      </w:tblBorders>
      <w:tblCellMar>
        <w:top w:w="0" w:type="dxa"/>
        <w:left w:w="108" w:type="dxa"/>
        <w:bottom w:w="0" w:type="dxa"/>
        <w:right w:w="108" w:type="dxa"/>
      </w:tblCellMar>
    </w:tblPr>
    <w:tcPr>
      <w:shd w:val="clear" w:color="auto" w:fill="EFD3D2" w:themeFill="accent2" w:themeFillTint="3f"/>
    </w:tcPr>
    <w:tblStylePr w:type="firstRow">
      <w:rPr>
        <w:b/>
        <w:bCs/>
      </w:rPr>
      <w:tblPr/>
    </w:tblStylePr>
    <w:tblStylePr w:type="lastRow">
      <w:rPr>
        <w:b/>
        <w:bCs/>
      </w:rPr>
      <w:tblPr/>
      <w:tcPr>
        <w:tcBorders>
          <w:top w:val="single" w:color="CF7B79" w:themeColor="accent2" w:sz="18" w:space="0"/>
        </w:tcBorders>
      </w:tcPr>
    </w:tblStylePr>
    <w:tblStylePr w:type="firstCol">
      <w:rPr>
        <w:b/>
        <w:bCs/>
      </w:rPr>
      <w:tblPr/>
    </w:tblStylePr>
    <w:tblStylePr w:type="lastCol">
      <w:rPr>
        <w:b/>
        <w:bCs/>
      </w:rPr>
      <w:tbl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MediumGrid1-Accent3">
    <w:name w:val="Medium Grid 1 Accent 3"/>
    <w:basedOn w:val="TableNormal"/>
    <w:uiPriority w:val="67"/>
    <w:rsid w:val="00cb0664"/>
    <w:pPr>
      <w:spacing w:after="0" w:line="240" w:lineRule="auto"/>
    </w:pPr>
    <w:tblPr>
      <w:tblStyleRowBandSize w:val="1"/>
      <w:tblStyleColBandSize w:val="1"/>
      <w:tblBorders>
        <w:top w:val="single" w:color="B3CC82" w:themeColor="accent3" w:themeTint="bf" w:sz="8" w:space="0"/>
        <w:left w:val="single" w:color="B3CC82" w:themeColor="accent3" w:themeTint="bf" w:sz="8" w:space="0"/>
        <w:bottom w:val="single" w:color="B3CC82" w:themeColor="accent3" w:themeTint="bf" w:sz="8" w:space="0"/>
        <w:right w:val="single" w:color="B3CC82" w:themeColor="accent3" w:themeTint="bf" w:sz="8" w:space="0"/>
        <w:insideH w:val="single" w:color="B3CC82" w:themeColor="accent3" w:themeTint="bf" w:sz="8" w:space="0"/>
        <w:insideV w:val="single" w:color="B3CC82" w:themeColor="accent3" w:themeTint="bf" w:sz="8" w:space="0"/>
      </w:tblBorders>
      <w:tblCellMar>
        <w:top w:w="0" w:type="dxa"/>
        <w:left w:w="108" w:type="dxa"/>
        <w:bottom w:w="0" w:type="dxa"/>
        <w:right w:w="108" w:type="dxa"/>
      </w:tblCellMar>
    </w:tblPr>
    <w:tcPr>
      <w:shd w:val="clear" w:color="auto" w:fill="E6EED5" w:themeFill="accent3" w:themeFillTint="3f"/>
    </w:tcPr>
    <w:tblStylePr w:type="firstRow">
      <w:rPr>
        <w:b/>
        <w:bCs/>
      </w:rPr>
      <w:tblPr/>
    </w:tblStylePr>
    <w:tblStylePr w:type="lastRow">
      <w:rPr>
        <w:b/>
        <w:bCs/>
      </w:rPr>
      <w:tblPr/>
      <w:tcPr>
        <w:tcBorders>
          <w:top w:val="single" w:color="B3CC82" w:themeColor="accent3" w:sz="18" w:space="0"/>
        </w:tcBorders>
      </w:tcPr>
    </w:tblStylePr>
    <w:tblStylePr w:type="firstCol">
      <w:rPr>
        <w:b/>
        <w:bCs/>
      </w:rPr>
      <w:tblPr/>
    </w:tblStylePr>
    <w:tblStylePr w:type="lastCol">
      <w:rPr>
        <w:b/>
        <w:bCs/>
      </w:rPr>
      <w:tbl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MediumGrid1-Accent4">
    <w:name w:val="Medium Grid 1 Accent 4"/>
    <w:basedOn w:val="TableNormal"/>
    <w:uiPriority w:val="67"/>
    <w:rsid w:val="00cb0664"/>
    <w:pPr>
      <w:spacing w:after="0" w:line="240" w:lineRule="auto"/>
    </w:pPr>
    <w:tblPr>
      <w:tblStyleRowBandSize w:val="1"/>
      <w:tblStyleColBandSize w:val="1"/>
      <w:tblBorders>
        <w:top w:val="single" w:color="9F8AB9" w:themeColor="accent4" w:themeTint="bf" w:sz="8" w:space="0"/>
        <w:left w:val="single" w:color="9F8AB9" w:themeColor="accent4" w:themeTint="bf" w:sz="8" w:space="0"/>
        <w:bottom w:val="single" w:color="9F8AB9" w:themeColor="accent4" w:themeTint="bf" w:sz="8" w:space="0"/>
        <w:right w:val="single" w:color="9F8AB9" w:themeColor="accent4" w:themeTint="bf" w:sz="8" w:space="0"/>
        <w:insideH w:val="single" w:color="9F8AB9" w:themeColor="accent4" w:themeTint="bf" w:sz="8" w:space="0"/>
        <w:insideV w:val="single" w:color="9F8AB9" w:themeColor="accent4" w:themeTint="bf" w:sz="8" w:space="0"/>
      </w:tblBorders>
      <w:tblCellMar>
        <w:top w:w="0" w:type="dxa"/>
        <w:left w:w="108" w:type="dxa"/>
        <w:bottom w:w="0" w:type="dxa"/>
        <w:right w:w="108" w:type="dxa"/>
      </w:tblCellMar>
    </w:tblPr>
    <w:tcPr>
      <w:shd w:val="clear" w:color="auto" w:fill="DFD8E8" w:themeFill="accent4" w:themeFillTint="3f"/>
    </w:tcPr>
    <w:tblStylePr w:type="firstRow">
      <w:rPr>
        <w:b/>
        <w:bCs/>
      </w:rPr>
      <w:tblPr/>
    </w:tblStylePr>
    <w:tblStylePr w:type="lastRow">
      <w:rPr>
        <w:b/>
        <w:bCs/>
      </w:rPr>
      <w:tblPr/>
      <w:tcPr>
        <w:tcBorders>
          <w:top w:val="single" w:color="9F8AB9" w:themeColor="accent4" w:sz="18" w:space="0"/>
        </w:tcBorders>
      </w:tcPr>
    </w:tblStylePr>
    <w:tblStylePr w:type="firstCol">
      <w:rPr>
        <w:b/>
        <w:bCs/>
      </w:rPr>
      <w:tblPr/>
    </w:tblStylePr>
    <w:tblStylePr w:type="lastCol">
      <w:rPr>
        <w:b/>
        <w:bCs/>
      </w:rPr>
      <w:tbl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MediumGrid1-Accent5">
    <w:name w:val="Medium Grid 1 Accent 5"/>
    <w:basedOn w:val="TableNormal"/>
    <w:uiPriority w:val="67"/>
    <w:rsid w:val="00cb0664"/>
    <w:pPr>
      <w:spacing w:after="0" w:line="240" w:lineRule="auto"/>
    </w:pPr>
    <w:tblPr>
      <w:tblStyleRowBandSize w:val="1"/>
      <w:tblStyleColBandSize w:val="1"/>
      <w:tblBorders>
        <w:top w:val="single" w:color="78C0D4" w:themeColor="accent5" w:themeTint="bf" w:sz="8" w:space="0"/>
        <w:left w:val="single" w:color="78C0D4" w:themeColor="accent5" w:themeTint="bf" w:sz="8" w:space="0"/>
        <w:bottom w:val="single" w:color="78C0D4" w:themeColor="accent5" w:themeTint="bf" w:sz="8" w:space="0"/>
        <w:right w:val="single" w:color="78C0D4" w:themeColor="accent5" w:themeTint="bf" w:sz="8" w:space="0"/>
        <w:insideH w:val="single" w:color="78C0D4" w:themeColor="accent5" w:themeTint="bf" w:sz="8" w:space="0"/>
        <w:insideV w:val="single" w:color="78C0D4" w:themeColor="accent5" w:themeTint="bf" w:sz="8" w:space="0"/>
      </w:tblBorders>
      <w:tblCellMar>
        <w:top w:w="0" w:type="dxa"/>
        <w:left w:w="108" w:type="dxa"/>
        <w:bottom w:w="0" w:type="dxa"/>
        <w:right w:w="108" w:type="dxa"/>
      </w:tblCellMar>
    </w:tblPr>
    <w:tcPr>
      <w:shd w:val="clear" w:color="auto" w:fill="D2EAF1" w:themeFill="accent5" w:themeFillTint="3f"/>
    </w:tcPr>
    <w:tblStylePr w:type="firstRow">
      <w:rPr>
        <w:b/>
        <w:bCs/>
      </w:rPr>
      <w:tblPr/>
    </w:tblStylePr>
    <w:tblStylePr w:type="lastRow">
      <w:rPr>
        <w:b/>
        <w:bCs/>
      </w:rPr>
      <w:tblPr/>
      <w:tcPr>
        <w:tcBorders>
          <w:top w:val="single" w:color="78C0D4" w:themeColor="accent5" w:sz="18" w:space="0"/>
        </w:tcBorders>
      </w:tcPr>
    </w:tblStylePr>
    <w:tblStylePr w:type="firstCol">
      <w:rPr>
        <w:b/>
        <w:bCs/>
      </w:rPr>
      <w:tblPr/>
    </w:tblStylePr>
    <w:tblStylePr w:type="lastCol">
      <w:rPr>
        <w:b/>
        <w:bCs/>
      </w:rPr>
      <w:tbl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MediumGrid1-Accent6">
    <w:name w:val="Medium Grid 1 Accent 6"/>
    <w:basedOn w:val="TableNormal"/>
    <w:uiPriority w:val="67"/>
    <w:rsid w:val="00cb0664"/>
    <w:pPr>
      <w:spacing w:after="0" w:line="240" w:lineRule="auto"/>
    </w:pPr>
    <w:tblPr>
      <w:tblStyleRowBandSize w:val="1"/>
      <w:tblStyleColBandSize w:val="1"/>
      <w:tblBorders>
        <w:top w:val="single" w:color="F9B074" w:themeColor="accent6" w:themeTint="bf" w:sz="8" w:space="0"/>
        <w:left w:val="single" w:color="F9B074" w:themeColor="accent6" w:themeTint="bf" w:sz="8" w:space="0"/>
        <w:bottom w:val="single" w:color="F9B074" w:themeColor="accent6" w:themeTint="bf" w:sz="8" w:space="0"/>
        <w:right w:val="single" w:color="F9B074" w:themeColor="accent6" w:themeTint="bf" w:sz="8" w:space="0"/>
        <w:insideH w:val="single" w:color="F9B074" w:themeColor="accent6" w:themeTint="bf" w:sz="8" w:space="0"/>
        <w:insideV w:val="single" w:color="F9B074" w:themeColor="accent6" w:themeTint="bf" w:sz="8" w:space="0"/>
      </w:tblBorders>
      <w:tblCellMar>
        <w:top w:w="0" w:type="dxa"/>
        <w:left w:w="108" w:type="dxa"/>
        <w:bottom w:w="0" w:type="dxa"/>
        <w:right w:w="108" w:type="dxa"/>
      </w:tblCellMar>
    </w:tblPr>
    <w:tcPr>
      <w:shd w:val="clear" w:color="auto" w:fill="FDE4D0" w:themeFill="accent6" w:themeFillTint="3f"/>
    </w:tcPr>
    <w:tblStylePr w:type="firstRow">
      <w:rPr>
        <w:b/>
        <w:bCs/>
      </w:rPr>
      <w:tblPr/>
    </w:tblStylePr>
    <w:tblStylePr w:type="lastRow">
      <w:rPr>
        <w:b/>
        <w:bCs/>
      </w:rPr>
      <w:tblPr/>
      <w:tcPr>
        <w:tcBorders>
          <w:top w:val="single" w:color="F9B074" w:themeColor="accent6" w:sz="18" w:space="0"/>
        </w:tcBorders>
      </w:tcPr>
    </w:tblStylePr>
    <w:tblStylePr w:type="firstCol">
      <w:rPr>
        <w:b/>
        <w:bCs/>
      </w:rPr>
      <w:tblPr/>
    </w:tblStylePr>
    <w:tblStylePr w:type="lastCol">
      <w:rPr>
        <w:b/>
        <w:bCs/>
      </w:rPr>
      <w:tbl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MediumGrid2">
    <w:name w:val="Medium Grid 2"/>
    <w:basedOn w:val="TableNormal"/>
    <w:uiPriority w:val="68"/>
    <w:rsid w:val="00cb0664"/>
    <w:pPr>
      <w:spacing w:after="0" w:line="240" w:lineRule="auto"/>
    </w:pPr>
    <w:rPr>
      <w:rFonts w:asciiTheme="majorHAnsi" w:hAnsiTheme="majorHAnsi" w:eastAsiaTheme="majorEastAsia" w:cstheme="majorBidi"/>
      <w:color w:themeColor="text1"/>
    </w:rPr>
    <w:tblPr>
      <w:tblStyleRowBandSize w:val="1"/>
      <w:tblStyleColBandSize w:val="1"/>
      <w:tblBorders>
        <w:top w:val="single" w:color="000000" w:themeColor="text1" w:sz="8" w:space="0"/>
        <w:left w:val="single" w:color="000000" w:themeColor="text1" w:sz="8" w:space="0"/>
        <w:bottom w:val="single" w:color="000000" w:themeColor="text1" w:sz="8" w:space="0"/>
        <w:right w:val="single" w:color="000000" w:themeColor="text1" w:sz="8" w:space="0"/>
        <w:insideH w:val="single" w:color="000000" w:themeColor="text1" w:sz="8" w:space="0"/>
        <w:insideV w:val="single" w:color="000000" w:themeColor="text1" w:sz="8" w:space="0"/>
      </w:tblBorders>
      <w:tblCellMar>
        <w:top w:w="0" w:type="dxa"/>
        <w:left w:w="108" w:type="dxa"/>
        <w:bottom w:w="0" w:type="dxa"/>
        <w:right w:w="108" w:type="dxa"/>
      </w:tblCellMar>
    </w:tblPr>
    <w:tcPr>
      <w:shd w:val="clear" w:color="auto" w:fill="C0C0C0" w:themeFill="text1" w:themeFillTint="3f"/>
    </w:tcPr>
    <w:tblStylePr w:type="firstRow">
      <w:rPr>
        <w:b/>
        <w:bCs/>
        <w:color w:themeColor="text1"/>
      </w:rPr>
      <w:tblPr/>
      <w:tcPr>
        <w:shd w:val="clear" w:color="auto" w:fill="E6E6E6" w:themeFill="text1" w:themeFillTint="19"/>
      </w:tcPr>
    </w:tblStylePr>
    <w:tblStylePr w:type="lastRow">
      <w:rPr>
        <w:b/>
        <w:bCs/>
        <w:color w:themeColor="text1"/>
      </w:rPr>
      <w:tblPr/>
      <w:tcPr>
        <w:tcBorders>
          <w:top w:val="single" w:color="000000" w:themeColor="text1" w:sz="12" w:space="0"/>
          <w:left w:val="nil"/>
          <w:bottom w:val="nil"/>
          <w:right w:val="nil"/>
          <w:insideH w:val="nil"/>
          <w:insideV w:val="nil"/>
        </w:tcBorders>
        <w:shd w:val="clear" w:color="auto" w:fill="FFFFFF" w:themeFill="background1"/>
      </w:tcPr>
    </w:tblStylePr>
    <w:tblStylePr w:type="firstCol">
      <w:rPr>
        <w:b/>
        <w:bCs/>
        <w:color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color="000000" w:themeColor="text1" w:sz="6" w:space="0"/>
          <w:insideV w:val="single" w:color="000000" w:themeColor="text1" w:sz="6" w:space="0"/>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rsid w:val="00cb0664"/>
    <w:pPr>
      <w:spacing w:after="0" w:line="240" w:lineRule="auto"/>
    </w:pPr>
    <w:rPr>
      <w:rFonts w:asciiTheme="majorHAnsi" w:hAnsiTheme="majorHAnsi" w:eastAsiaTheme="majorEastAsia" w:cstheme="majorBidi"/>
      <w:color w:themeColor="text1"/>
    </w:rPr>
    <w:tblPr>
      <w:tblStyleRowBandSize w:val="1"/>
      <w:tblStyleColBandSize w:val="1"/>
      <w:tblBorders>
        <w:top w:val="single" w:color="4F81BD" w:themeColor="accent1" w:sz="8" w:space="0"/>
        <w:left w:val="single" w:color="4F81BD" w:themeColor="accent1" w:sz="8" w:space="0"/>
        <w:bottom w:val="single" w:color="4F81BD" w:themeColor="accent1" w:sz="8" w:space="0"/>
        <w:right w:val="single" w:color="4F81BD" w:themeColor="accent1" w:sz="8" w:space="0"/>
        <w:insideH w:val="single" w:color="4F81BD" w:themeColor="accent1" w:sz="8" w:space="0"/>
        <w:insideV w:val="single" w:color="4F81BD" w:themeColor="accent1" w:sz="8" w:space="0"/>
      </w:tblBorders>
      <w:tblCellMar>
        <w:top w:w="0" w:type="dxa"/>
        <w:left w:w="108" w:type="dxa"/>
        <w:bottom w:w="0" w:type="dxa"/>
        <w:right w:w="108" w:type="dxa"/>
      </w:tblCellMar>
    </w:tblPr>
    <w:tcPr>
      <w:shd w:val="clear" w:color="auto" w:fill="D3DFEE" w:themeFill="accent1" w:themeFillTint="3f"/>
    </w:tcPr>
    <w:tblStylePr w:type="firstRow">
      <w:rPr>
        <w:b/>
        <w:bCs/>
        <w:color w:themeColor="text1"/>
      </w:rPr>
      <w:tblPr/>
      <w:tcPr>
        <w:shd w:val="clear" w:color="auto" w:fill="EDF2F8" w:themeFill="accent1" w:themeFillTint="19"/>
      </w:tcPr>
    </w:tblStylePr>
    <w:tblStylePr w:type="lastRow">
      <w:rPr>
        <w:b/>
        <w:bCs/>
        <w:color w:themeColor="text1"/>
      </w:rPr>
      <w:tblPr/>
      <w:tcPr>
        <w:tcBorders>
          <w:top w:val="single" w:color="000000" w:themeColor="text1" w:sz="12" w:space="0"/>
          <w:left w:val="nil"/>
          <w:bottom w:val="nil"/>
          <w:right w:val="nil"/>
          <w:insideH w:val="nil"/>
          <w:insideV w:val="nil"/>
        </w:tcBorders>
        <w:shd w:val="clear" w:color="auto" w:fill="FFFFFF" w:themeFill="background1"/>
      </w:tcPr>
    </w:tblStylePr>
    <w:tblStylePr w:type="firstCol">
      <w:rPr>
        <w:b/>
        <w:bCs/>
        <w:color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color="4F81BD" w:themeColor="accent1" w:sz="6" w:space="0"/>
          <w:insideV w:val="single" w:color="4F81BD" w:themeColor="accent1" w:sz="6" w:space="0"/>
        </w:tcBorders>
        <w:shd w:val="clear" w:color="auto" w:fill="A7BFDE"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rsid w:val="00cb0664"/>
    <w:pPr>
      <w:spacing w:after="0" w:line="240" w:lineRule="auto"/>
    </w:pPr>
    <w:rPr>
      <w:rFonts w:asciiTheme="majorHAnsi" w:hAnsiTheme="majorHAnsi" w:eastAsiaTheme="majorEastAsia" w:cstheme="majorBidi"/>
      <w:color w:themeColor="text1"/>
    </w:rPr>
    <w:tblPr>
      <w:tblStyleRowBandSize w:val="1"/>
      <w:tblStyleColBandSize w:val="1"/>
      <w:tblBorders>
        <w:top w:val="single" w:color="C0504D" w:themeColor="accent2" w:sz="8" w:space="0"/>
        <w:left w:val="single" w:color="C0504D" w:themeColor="accent2" w:sz="8" w:space="0"/>
        <w:bottom w:val="single" w:color="C0504D" w:themeColor="accent2" w:sz="8" w:space="0"/>
        <w:right w:val="single" w:color="C0504D" w:themeColor="accent2" w:sz="8" w:space="0"/>
        <w:insideH w:val="single" w:color="C0504D" w:themeColor="accent2" w:sz="8" w:space="0"/>
        <w:insideV w:val="single" w:color="C0504D" w:themeColor="accent2" w:sz="8" w:space="0"/>
      </w:tblBorders>
      <w:tblCellMar>
        <w:top w:w="0" w:type="dxa"/>
        <w:left w:w="108" w:type="dxa"/>
        <w:bottom w:w="0" w:type="dxa"/>
        <w:right w:w="108" w:type="dxa"/>
      </w:tblCellMar>
    </w:tblPr>
    <w:tcPr>
      <w:shd w:val="clear" w:color="auto" w:fill="EFD3D2" w:themeFill="accent2" w:themeFillTint="3f"/>
    </w:tcPr>
    <w:tblStylePr w:type="firstRow">
      <w:rPr>
        <w:b/>
        <w:bCs/>
        <w:color w:themeColor="text1"/>
      </w:rPr>
      <w:tblPr/>
      <w:tcPr>
        <w:shd w:val="clear" w:color="auto" w:fill="F8EDED" w:themeFill="accent2" w:themeFillTint="19"/>
      </w:tcPr>
    </w:tblStylePr>
    <w:tblStylePr w:type="lastRow">
      <w:rPr>
        <w:b/>
        <w:bCs/>
        <w:color w:themeColor="text1"/>
      </w:rPr>
      <w:tblPr/>
      <w:tcPr>
        <w:tcBorders>
          <w:top w:val="single" w:color="000000" w:themeColor="text1" w:sz="12" w:space="0"/>
          <w:left w:val="nil"/>
          <w:bottom w:val="nil"/>
          <w:right w:val="nil"/>
          <w:insideH w:val="nil"/>
          <w:insideV w:val="nil"/>
        </w:tcBorders>
        <w:shd w:val="clear" w:color="auto" w:fill="FFFFFF" w:themeFill="background1"/>
      </w:tcPr>
    </w:tblStylePr>
    <w:tblStylePr w:type="firstCol">
      <w:rPr>
        <w:b/>
        <w:bCs/>
        <w:color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color="C0504D" w:themeColor="accent2" w:sz="6" w:space="0"/>
          <w:insideV w:val="single" w:color="C0504D" w:themeColor="accent2" w:sz="6" w:space="0"/>
        </w:tcBorders>
        <w:shd w:val="clear" w:color="auto" w:fill="DFA7A6"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rsid w:val="00cb0664"/>
    <w:pPr>
      <w:spacing w:after="0" w:line="240" w:lineRule="auto"/>
    </w:pPr>
    <w:rPr>
      <w:rFonts w:asciiTheme="majorHAnsi" w:hAnsiTheme="majorHAnsi" w:eastAsiaTheme="majorEastAsia" w:cstheme="majorBidi"/>
      <w:color w:themeColor="text1"/>
    </w:rPr>
    <w:tblPr>
      <w:tblStyleRowBandSize w:val="1"/>
      <w:tblStyleColBandSize w:val="1"/>
      <w:tblBorders>
        <w:top w:val="single" w:color="9BBB59" w:themeColor="accent3" w:sz="8" w:space="0"/>
        <w:left w:val="single" w:color="9BBB59" w:themeColor="accent3" w:sz="8" w:space="0"/>
        <w:bottom w:val="single" w:color="9BBB59" w:themeColor="accent3" w:sz="8" w:space="0"/>
        <w:right w:val="single" w:color="9BBB59" w:themeColor="accent3" w:sz="8" w:space="0"/>
        <w:insideH w:val="single" w:color="9BBB59" w:themeColor="accent3" w:sz="8" w:space="0"/>
        <w:insideV w:val="single" w:color="9BBB59" w:themeColor="accent3" w:sz="8" w:space="0"/>
      </w:tblBorders>
      <w:tblCellMar>
        <w:top w:w="0" w:type="dxa"/>
        <w:left w:w="108" w:type="dxa"/>
        <w:bottom w:w="0" w:type="dxa"/>
        <w:right w:w="108" w:type="dxa"/>
      </w:tblCellMar>
    </w:tblPr>
    <w:tcPr>
      <w:shd w:val="clear" w:color="auto" w:fill="E6EED5" w:themeFill="accent3" w:themeFillTint="3f"/>
    </w:tcPr>
    <w:tblStylePr w:type="firstRow">
      <w:rPr>
        <w:b/>
        <w:bCs/>
        <w:color w:themeColor="text1"/>
      </w:rPr>
      <w:tblPr/>
      <w:tcPr>
        <w:shd w:val="clear" w:color="auto" w:fill="F5F8EE" w:themeFill="accent3" w:themeFillTint="19"/>
      </w:tcPr>
    </w:tblStylePr>
    <w:tblStylePr w:type="lastRow">
      <w:rPr>
        <w:b/>
        <w:bCs/>
        <w:color w:themeColor="text1"/>
      </w:rPr>
      <w:tblPr/>
      <w:tcPr>
        <w:tcBorders>
          <w:top w:val="single" w:color="000000" w:themeColor="text1" w:sz="12" w:space="0"/>
          <w:left w:val="nil"/>
          <w:bottom w:val="nil"/>
          <w:right w:val="nil"/>
          <w:insideH w:val="nil"/>
          <w:insideV w:val="nil"/>
        </w:tcBorders>
        <w:shd w:val="clear" w:color="auto" w:fill="FFFFFF" w:themeFill="background1"/>
      </w:tcPr>
    </w:tblStylePr>
    <w:tblStylePr w:type="firstCol">
      <w:rPr>
        <w:b/>
        <w:bCs/>
        <w:color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color="9BBB59" w:themeColor="accent3" w:sz="6" w:space="0"/>
          <w:insideV w:val="single" w:color="9BBB59" w:themeColor="accent3" w:sz="6" w:space="0"/>
        </w:tcBorders>
        <w:shd w:val="clear" w:color="auto" w:fill="CDDDAC"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rsid w:val="00cb0664"/>
    <w:pPr>
      <w:spacing w:after="0" w:line="240" w:lineRule="auto"/>
    </w:pPr>
    <w:rPr>
      <w:rFonts w:asciiTheme="majorHAnsi" w:hAnsiTheme="majorHAnsi" w:eastAsiaTheme="majorEastAsia" w:cstheme="majorBidi"/>
      <w:color w:themeColor="text1"/>
    </w:rPr>
    <w:tblPr>
      <w:tblStyleRowBandSize w:val="1"/>
      <w:tblStyleColBandSize w:val="1"/>
      <w:tblBorders>
        <w:top w:val="single" w:color="8064A2" w:themeColor="accent4" w:sz="8" w:space="0"/>
        <w:left w:val="single" w:color="8064A2" w:themeColor="accent4" w:sz="8" w:space="0"/>
        <w:bottom w:val="single" w:color="8064A2" w:themeColor="accent4" w:sz="8" w:space="0"/>
        <w:right w:val="single" w:color="8064A2" w:themeColor="accent4" w:sz="8" w:space="0"/>
        <w:insideH w:val="single" w:color="8064A2" w:themeColor="accent4" w:sz="8" w:space="0"/>
        <w:insideV w:val="single" w:color="8064A2" w:themeColor="accent4" w:sz="8" w:space="0"/>
      </w:tblBorders>
      <w:tblCellMar>
        <w:top w:w="0" w:type="dxa"/>
        <w:left w:w="108" w:type="dxa"/>
        <w:bottom w:w="0" w:type="dxa"/>
        <w:right w:w="108" w:type="dxa"/>
      </w:tblCellMar>
    </w:tblPr>
    <w:tcPr>
      <w:shd w:val="clear" w:color="auto" w:fill="DFD8E8" w:themeFill="accent4" w:themeFillTint="3f"/>
    </w:tcPr>
    <w:tblStylePr w:type="firstRow">
      <w:rPr>
        <w:b/>
        <w:bCs/>
        <w:color w:themeColor="text1"/>
      </w:rPr>
      <w:tblPr/>
      <w:tcPr>
        <w:shd w:val="clear" w:color="auto" w:fill="F2EFF6" w:themeFill="accent4" w:themeFillTint="19"/>
      </w:tcPr>
    </w:tblStylePr>
    <w:tblStylePr w:type="lastRow">
      <w:rPr>
        <w:b/>
        <w:bCs/>
        <w:color w:themeColor="text1"/>
      </w:rPr>
      <w:tblPr/>
      <w:tcPr>
        <w:tcBorders>
          <w:top w:val="single" w:color="000000" w:themeColor="text1" w:sz="12" w:space="0"/>
          <w:left w:val="nil"/>
          <w:bottom w:val="nil"/>
          <w:right w:val="nil"/>
          <w:insideH w:val="nil"/>
          <w:insideV w:val="nil"/>
        </w:tcBorders>
        <w:shd w:val="clear" w:color="auto" w:fill="FFFFFF" w:themeFill="background1"/>
      </w:tcPr>
    </w:tblStylePr>
    <w:tblStylePr w:type="firstCol">
      <w:rPr>
        <w:b/>
        <w:bCs/>
        <w:color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color="8064A2" w:themeColor="accent4" w:sz="6" w:space="0"/>
          <w:insideV w:val="single" w:color="8064A2" w:themeColor="accent4" w:sz="6" w:space="0"/>
        </w:tcBorders>
        <w:shd w:val="clear" w:color="auto" w:fill="BFB1D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rsid w:val="00cb0664"/>
    <w:pPr>
      <w:spacing w:after="0" w:line="240" w:lineRule="auto"/>
    </w:pPr>
    <w:rPr>
      <w:rFonts w:asciiTheme="majorHAnsi" w:hAnsiTheme="majorHAnsi" w:eastAsiaTheme="majorEastAsia" w:cstheme="majorBidi"/>
      <w:color w:themeColor="text1"/>
    </w:rPr>
    <w:tblPr>
      <w:tblStyleRowBandSize w:val="1"/>
      <w:tblStyleColBandSize w:val="1"/>
      <w:tblBorders>
        <w:top w:val="single" w:color="4BACC6" w:themeColor="accent5" w:sz="8" w:space="0"/>
        <w:left w:val="single" w:color="4BACC6" w:themeColor="accent5" w:sz="8" w:space="0"/>
        <w:bottom w:val="single" w:color="4BACC6" w:themeColor="accent5" w:sz="8" w:space="0"/>
        <w:right w:val="single" w:color="4BACC6" w:themeColor="accent5" w:sz="8" w:space="0"/>
        <w:insideH w:val="single" w:color="4BACC6" w:themeColor="accent5" w:sz="8" w:space="0"/>
        <w:insideV w:val="single" w:color="4BACC6" w:themeColor="accent5" w:sz="8" w:space="0"/>
      </w:tblBorders>
      <w:tblCellMar>
        <w:top w:w="0" w:type="dxa"/>
        <w:left w:w="108" w:type="dxa"/>
        <w:bottom w:w="0" w:type="dxa"/>
        <w:right w:w="108" w:type="dxa"/>
      </w:tblCellMar>
    </w:tblPr>
    <w:tcPr>
      <w:shd w:val="clear" w:color="auto" w:fill="D2EAF1" w:themeFill="accent5" w:themeFillTint="3f"/>
    </w:tcPr>
    <w:tblStylePr w:type="firstRow">
      <w:rPr>
        <w:b/>
        <w:bCs/>
        <w:color w:themeColor="text1"/>
      </w:rPr>
      <w:tblPr/>
      <w:tcPr>
        <w:shd w:val="clear" w:color="auto" w:fill="EDF6F9" w:themeFill="accent5" w:themeFillTint="19"/>
      </w:tcPr>
    </w:tblStylePr>
    <w:tblStylePr w:type="lastRow">
      <w:rPr>
        <w:b/>
        <w:bCs/>
        <w:color w:themeColor="text1"/>
      </w:rPr>
      <w:tblPr/>
      <w:tcPr>
        <w:tcBorders>
          <w:top w:val="single" w:color="000000" w:themeColor="text1" w:sz="12" w:space="0"/>
          <w:left w:val="nil"/>
          <w:bottom w:val="nil"/>
          <w:right w:val="nil"/>
          <w:insideH w:val="nil"/>
          <w:insideV w:val="nil"/>
        </w:tcBorders>
        <w:shd w:val="clear" w:color="auto" w:fill="FFFFFF" w:themeFill="background1"/>
      </w:tcPr>
    </w:tblStylePr>
    <w:tblStylePr w:type="firstCol">
      <w:rPr>
        <w:b/>
        <w:bCs/>
        <w:color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color="4BACC6" w:themeColor="accent5" w:sz="6" w:space="0"/>
          <w:insideV w:val="single" w:color="4BACC6" w:themeColor="accent5" w:sz="6" w:space="0"/>
        </w:tcBorders>
        <w:shd w:val="clear" w:color="auto" w:fill="A5D5E2"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rsid w:val="00cb0664"/>
    <w:pPr>
      <w:spacing w:after="0" w:line="240" w:lineRule="auto"/>
    </w:pPr>
    <w:rPr>
      <w:rFonts w:asciiTheme="majorHAnsi" w:hAnsiTheme="majorHAnsi" w:eastAsiaTheme="majorEastAsia" w:cstheme="majorBidi"/>
      <w:color w:themeColor="text1"/>
    </w:rPr>
    <w:tblPr>
      <w:tblStyleRowBandSize w:val="1"/>
      <w:tblStyleColBandSize w:val="1"/>
      <w:tblBorders>
        <w:top w:val="single" w:color="F79646" w:themeColor="accent6" w:sz="8" w:space="0"/>
        <w:left w:val="single" w:color="F79646" w:themeColor="accent6" w:sz="8" w:space="0"/>
        <w:bottom w:val="single" w:color="F79646" w:themeColor="accent6" w:sz="8" w:space="0"/>
        <w:right w:val="single" w:color="F79646" w:themeColor="accent6" w:sz="8" w:space="0"/>
        <w:insideH w:val="single" w:color="F79646" w:themeColor="accent6" w:sz="8" w:space="0"/>
        <w:insideV w:val="single" w:color="F79646" w:themeColor="accent6" w:sz="8" w:space="0"/>
      </w:tblBorders>
      <w:tblCellMar>
        <w:top w:w="0" w:type="dxa"/>
        <w:left w:w="108" w:type="dxa"/>
        <w:bottom w:w="0" w:type="dxa"/>
        <w:right w:w="108" w:type="dxa"/>
      </w:tblCellMar>
    </w:tblPr>
    <w:tcPr>
      <w:shd w:val="clear" w:color="auto" w:fill="FDE4D0" w:themeFill="accent6" w:themeFillTint="3f"/>
    </w:tcPr>
    <w:tblStylePr w:type="firstRow">
      <w:rPr>
        <w:b/>
        <w:bCs/>
        <w:color w:themeColor="text1"/>
      </w:rPr>
      <w:tblPr/>
      <w:tcPr>
        <w:shd w:val="clear" w:color="auto" w:fill="FEF4EC" w:themeFill="accent6" w:themeFillTint="19"/>
      </w:tcPr>
    </w:tblStylePr>
    <w:tblStylePr w:type="lastRow">
      <w:rPr>
        <w:b/>
        <w:bCs/>
        <w:color w:themeColor="text1"/>
      </w:rPr>
      <w:tblPr/>
      <w:tcPr>
        <w:tcBorders>
          <w:top w:val="single" w:color="000000" w:themeColor="text1" w:sz="12" w:space="0"/>
          <w:left w:val="nil"/>
          <w:bottom w:val="nil"/>
          <w:right w:val="nil"/>
          <w:insideH w:val="nil"/>
          <w:insideV w:val="nil"/>
        </w:tcBorders>
        <w:shd w:val="clear" w:color="auto" w:fill="FFFFFF" w:themeFill="background1"/>
      </w:tcPr>
    </w:tblStylePr>
    <w:tblStylePr w:type="firstCol">
      <w:rPr>
        <w:b/>
        <w:bCs/>
        <w:color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color="F79646" w:themeColor="accent6" w:sz="6" w:space="0"/>
          <w:insideV w:val="single" w:color="F79646" w:themeColor="accent6" w:sz="6" w:space="0"/>
        </w:tcBorders>
        <w:shd w:val="clear" w:color="auto" w:fill="FBCAA2"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rsid w:val="00cb0664"/>
    <w:pPr>
      <w:spacing w:after="0" w:line="240" w:lineRule="auto"/>
    </w:pPr>
    <w:tblPr>
      <w:tblStyleRowBandSize w:val="1"/>
      <w:tblStyleColBandSize w:val="1"/>
      <w:tbl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single" w:color="FFFFFF" w:themeColor="background1" w:sz="6" w:space="0"/>
        <w:insideV w:val="single" w:color="FFFFFF" w:themeColor="background1" w:sz="6" w:space="0"/>
      </w:tblBorders>
      <w:tblCellMar>
        <w:top w:w="0" w:type="dxa"/>
        <w:left w:w="108" w:type="dxa"/>
        <w:bottom w:w="0" w:type="dxa"/>
        <w:right w:w="108" w:type="dxa"/>
      </w:tblCellMar>
    </w:tblPr>
    <w:tcPr>
      <w:shd w:val="clear" w:color="auto" w:fill="C0C0C0" w:themeFill="text1" w:themeFillTint="3f"/>
    </w:tcPr>
    <w:tblStylePr w:type="firstRow">
      <w:rPr>
        <w:b/>
        <w:bCs/>
        <w:i w:val="0"/>
        <w:color w:themeColor="background1"/>
      </w:rPr>
      <w:tblPr/>
      <w:tcPr>
        <w:tcBorders>
          <w:top w:val="single" w:color="FFFFFF" w:themeColor="background1" w:sz="8" w:space="0"/>
          <w:left w:val="single" w:color="FFFFFF" w:themeColor="background1" w:sz="8" w:space="0"/>
          <w:bottom w:val="single" w:color="FFFFFF" w:themeColor="background1" w:sz="24" w:space="0"/>
          <w:right w:val="single" w:color="FFFFFF" w:themeColor="background1" w:sz="8" w:space="0"/>
          <w:insideH w:val="nil"/>
          <w:insideV w:val="single" w:color="FFFFFF" w:themeColor="background1" w:sz="8" w:space="0"/>
        </w:tcBorders>
        <w:shd w:val="clear" w:color="auto" w:fill="000000" w:themeFill="text1"/>
      </w:tcPr>
    </w:tblStylePr>
    <w:tblStylePr w:type="lastRow">
      <w:rPr>
        <w:b/>
        <w:bCs/>
        <w:i w:val="0"/>
        <w:color w:themeColor="background1"/>
      </w:rPr>
      <w:tblPr/>
      <w:tcPr>
        <w:tcBorders>
          <w:top w:val="single" w:color="FFFFFF" w:themeColor="background1" w:sz="24" w:space="0"/>
          <w:left w:val="single" w:color="FFFFFF" w:themeColor="background1" w:sz="8" w:space="0"/>
          <w:bottom w:val="single" w:color="FFFFFF" w:themeColor="background1" w:sz="8" w:space="0"/>
          <w:right w:val="single" w:color="FFFFFF" w:themeColor="background1" w:sz="8" w:space="0"/>
          <w:insideH w:val="nil"/>
          <w:insideV w:val="single" w:color="FFFFFF" w:themeColor="background1" w:sz="8" w:space="0"/>
        </w:tcBorders>
        <w:shd w:val="clear" w:color="auto" w:fill="000000" w:themeFill="text1"/>
      </w:tcPr>
    </w:tblStylePr>
    <w:tblStylePr w:type="firstCol">
      <w:rPr>
        <w:b/>
        <w:bCs/>
        <w:i w:val="0"/>
        <w:color w:themeColor="background1"/>
      </w:rPr>
      <w:tblPr/>
      <w:tcPr>
        <w:tcBorders>
          <w:left w:val="single" w:color="FFFFFF" w:themeColor="background1" w:sz="8" w:space="0"/>
          <w:right w:val="single" w:color="FFFFFF" w:themeColor="background1" w:sz="24" w:space="0"/>
          <w:insideH w:val="nil"/>
          <w:insideV w:val="nil"/>
        </w:tcBorders>
        <w:shd w:val="clear" w:color="auto" w:fill="000000" w:themeFill="text1"/>
      </w:tcPr>
    </w:tblStylePr>
    <w:tblStylePr w:type="lastCol">
      <w:rPr>
        <w:b/>
        <w:bCs/>
        <w:i w:val="0"/>
        <w:color w:themeColor="background1"/>
      </w:rPr>
      <w:tblPr/>
      <w:tcPr>
        <w:tcBorders>
          <w:top w:val="nil"/>
          <w:left w:val="single" w:color="FFFFFF" w:themeColor="background1" w:sz="24" w:space="0"/>
          <w:bottom w:val="nil"/>
          <w:right w:val="nil"/>
          <w:insideH w:val="nil"/>
          <w:insideV w:val="nil"/>
        </w:tcBorders>
        <w:shd w:val="clear" w:color="auto" w:fill="000000" w:themeFill="text1"/>
      </w:tcPr>
    </w:tblStylePr>
    <w:tblStylePr w:type="band1Vert">
      <w:tblPr/>
      <w:tcPr>
        <w:tc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nil"/>
          <w:insideV w:val="nil"/>
        </w:tcBorders>
        <w:shd w:val="clear" w:color="auto" w:fill="808080" w:themeFill="text1" w:themeFillTint="7f"/>
      </w:tcPr>
    </w:tblStylePr>
    <w:tblStylePr w:type="band1Horz">
      <w:tblPr/>
      <w:tcPr>
        <w:tc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single" w:color="FFFFFF" w:themeColor="background1" w:sz="8" w:space="0"/>
          <w:insideV w:val="single" w:color="FFFFFF" w:themeColor="background1" w:sz="8" w:space="0"/>
        </w:tcBorders>
        <w:shd w:val="clear" w:color="auto" w:fill="808080" w:themeFill="text1" w:themeFillTint="7f"/>
      </w:tcPr>
    </w:tblStylePr>
  </w:style>
  <w:style w:type="table" w:styleId="MediumGrid3-Accent1">
    <w:name w:val="Medium Grid 3 Accent 1"/>
    <w:basedOn w:val="TableNormal"/>
    <w:uiPriority w:val="69"/>
    <w:rsid w:val="00cb0664"/>
    <w:pPr>
      <w:spacing w:after="0" w:line="240" w:lineRule="auto"/>
    </w:pPr>
    <w:tblPr>
      <w:tblStyleRowBandSize w:val="1"/>
      <w:tblStyleColBandSize w:val="1"/>
      <w:tbl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single" w:color="FFFFFF" w:themeColor="background1" w:sz="6" w:space="0"/>
        <w:insideV w:val="single" w:color="FFFFFF" w:themeColor="background1" w:sz="6" w:space="0"/>
      </w:tblBorders>
      <w:tblCellMar>
        <w:top w:w="0" w:type="dxa"/>
        <w:left w:w="108" w:type="dxa"/>
        <w:bottom w:w="0" w:type="dxa"/>
        <w:right w:w="108" w:type="dxa"/>
      </w:tblCellMar>
    </w:tblPr>
    <w:tcPr>
      <w:shd w:val="clear" w:color="auto" w:fill="D3DFEE" w:themeFill="accent1" w:themeFillTint="3f"/>
    </w:tcPr>
    <w:tblStylePr w:type="firstRow">
      <w:rPr>
        <w:b/>
        <w:bCs/>
        <w:i w:val="0"/>
        <w:color w:themeColor="background1"/>
      </w:rPr>
      <w:tblPr/>
      <w:tcPr>
        <w:tcBorders>
          <w:top w:val="single" w:color="FFFFFF" w:themeColor="background1" w:sz="8" w:space="0"/>
          <w:left w:val="single" w:color="FFFFFF" w:themeColor="background1" w:sz="8" w:space="0"/>
          <w:bottom w:val="single" w:color="FFFFFF" w:themeColor="background1" w:sz="24" w:space="0"/>
          <w:right w:val="single" w:color="FFFFFF" w:themeColor="background1" w:sz="8" w:space="0"/>
          <w:insideH w:val="nil"/>
          <w:insideV w:val="single" w:color="FFFFFF" w:themeColor="background1" w:sz="8" w:space="0"/>
        </w:tcBorders>
        <w:shd w:val="clear" w:color="auto" w:fill="4F81BD" w:themeFill="accent1"/>
      </w:tcPr>
    </w:tblStylePr>
    <w:tblStylePr w:type="lastRow">
      <w:rPr>
        <w:b/>
        <w:bCs/>
        <w:i w:val="0"/>
        <w:color w:themeColor="background1"/>
      </w:rPr>
      <w:tblPr/>
      <w:tcPr>
        <w:tcBorders>
          <w:top w:val="single" w:color="FFFFFF" w:themeColor="background1" w:sz="24" w:space="0"/>
          <w:left w:val="single" w:color="FFFFFF" w:themeColor="background1" w:sz="8" w:space="0"/>
          <w:bottom w:val="single" w:color="FFFFFF" w:themeColor="background1" w:sz="8" w:space="0"/>
          <w:right w:val="single" w:color="FFFFFF" w:themeColor="background1" w:sz="8" w:space="0"/>
          <w:insideH w:val="nil"/>
          <w:insideV w:val="single" w:color="FFFFFF" w:themeColor="background1" w:sz="8" w:space="0"/>
        </w:tcBorders>
        <w:shd w:val="clear" w:color="auto" w:fill="4F81BD" w:themeFill="accent1"/>
      </w:tcPr>
    </w:tblStylePr>
    <w:tblStylePr w:type="firstCol">
      <w:rPr>
        <w:b/>
        <w:bCs/>
        <w:i w:val="0"/>
        <w:color w:themeColor="background1"/>
      </w:rPr>
      <w:tblPr/>
      <w:tcPr>
        <w:tcBorders>
          <w:left w:val="single" w:color="FFFFFF" w:themeColor="background1" w:sz="8" w:space="0"/>
          <w:right w:val="single" w:color="FFFFFF" w:themeColor="background1" w:sz="24" w:space="0"/>
          <w:insideH w:val="nil"/>
          <w:insideV w:val="nil"/>
        </w:tcBorders>
        <w:shd w:val="clear" w:color="auto" w:fill="4F81BD" w:themeFill="accent1"/>
      </w:tcPr>
    </w:tblStylePr>
    <w:tblStylePr w:type="lastCol">
      <w:rPr>
        <w:b/>
        <w:bCs/>
        <w:i w:val="0"/>
        <w:color w:themeColor="background1"/>
      </w:rPr>
      <w:tblPr/>
      <w:tcPr>
        <w:tcBorders>
          <w:top w:val="nil"/>
          <w:left w:val="single" w:color="FFFFFF" w:themeColor="background1" w:sz="24" w:space="0"/>
          <w:bottom w:val="nil"/>
          <w:right w:val="nil"/>
          <w:insideH w:val="nil"/>
          <w:insideV w:val="nil"/>
        </w:tcBorders>
        <w:shd w:val="clear" w:color="auto" w:fill="4F81BD" w:themeFill="accent1"/>
      </w:tcPr>
    </w:tblStylePr>
    <w:tblStylePr w:type="band1Vert">
      <w:tblPr/>
      <w:tcPr>
        <w:tc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nil"/>
          <w:insideV w:val="nil"/>
        </w:tcBorders>
        <w:shd w:val="clear" w:color="auto" w:fill="A7BFDE" w:themeFill="accent1" w:themeFillTint="7f"/>
      </w:tcPr>
    </w:tblStylePr>
    <w:tblStylePr w:type="band1Horz">
      <w:tblPr/>
      <w:tcPr>
        <w:tc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single" w:color="FFFFFF" w:themeColor="background1" w:sz="8" w:space="0"/>
          <w:insideV w:val="single" w:color="FFFFFF" w:themeColor="background1" w:sz="8" w:space="0"/>
        </w:tcBorders>
        <w:shd w:val="clear" w:color="auto" w:fill="A7BFDE" w:themeFill="accent1" w:themeFillTint="7f"/>
      </w:tcPr>
    </w:tblStylePr>
  </w:style>
  <w:style w:type="table" w:styleId="MediumGrid3-Accent2">
    <w:name w:val="Medium Grid 3 Accent 2"/>
    <w:basedOn w:val="TableNormal"/>
    <w:uiPriority w:val="69"/>
    <w:rsid w:val="00cb0664"/>
    <w:pPr>
      <w:spacing w:after="0" w:line="240" w:lineRule="auto"/>
    </w:pPr>
    <w:tblPr>
      <w:tblStyleRowBandSize w:val="1"/>
      <w:tblStyleColBandSize w:val="1"/>
      <w:tbl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single" w:color="FFFFFF" w:themeColor="background1" w:sz="6" w:space="0"/>
        <w:insideV w:val="single" w:color="FFFFFF" w:themeColor="background1" w:sz="6" w:space="0"/>
      </w:tblBorders>
      <w:tblCellMar>
        <w:top w:w="0" w:type="dxa"/>
        <w:left w:w="108" w:type="dxa"/>
        <w:bottom w:w="0" w:type="dxa"/>
        <w:right w:w="108" w:type="dxa"/>
      </w:tblCellMar>
    </w:tblPr>
    <w:tcPr>
      <w:shd w:val="clear" w:color="auto" w:fill="EFD3D2" w:themeFill="accent2" w:themeFillTint="3f"/>
    </w:tcPr>
    <w:tblStylePr w:type="firstRow">
      <w:rPr>
        <w:b/>
        <w:bCs/>
        <w:i w:val="0"/>
        <w:color w:themeColor="background1"/>
      </w:rPr>
      <w:tblPr/>
      <w:tcPr>
        <w:tcBorders>
          <w:top w:val="single" w:color="FFFFFF" w:themeColor="background1" w:sz="8" w:space="0"/>
          <w:left w:val="single" w:color="FFFFFF" w:themeColor="background1" w:sz="8" w:space="0"/>
          <w:bottom w:val="single" w:color="FFFFFF" w:themeColor="background1" w:sz="24" w:space="0"/>
          <w:right w:val="single" w:color="FFFFFF" w:themeColor="background1" w:sz="8" w:space="0"/>
          <w:insideH w:val="nil"/>
          <w:insideV w:val="single" w:color="FFFFFF" w:themeColor="background1" w:sz="8" w:space="0"/>
        </w:tcBorders>
        <w:shd w:val="clear" w:color="auto" w:fill="C0504D" w:themeFill="accent2"/>
      </w:tcPr>
    </w:tblStylePr>
    <w:tblStylePr w:type="lastRow">
      <w:rPr>
        <w:b/>
        <w:bCs/>
        <w:i w:val="0"/>
        <w:color w:themeColor="background1"/>
      </w:rPr>
      <w:tblPr/>
      <w:tcPr>
        <w:tcBorders>
          <w:top w:val="single" w:color="FFFFFF" w:themeColor="background1" w:sz="24" w:space="0"/>
          <w:left w:val="single" w:color="FFFFFF" w:themeColor="background1" w:sz="8" w:space="0"/>
          <w:bottom w:val="single" w:color="FFFFFF" w:themeColor="background1" w:sz="8" w:space="0"/>
          <w:right w:val="single" w:color="FFFFFF" w:themeColor="background1" w:sz="8" w:space="0"/>
          <w:insideH w:val="nil"/>
          <w:insideV w:val="single" w:color="FFFFFF" w:themeColor="background1" w:sz="8" w:space="0"/>
        </w:tcBorders>
        <w:shd w:val="clear" w:color="auto" w:fill="C0504D" w:themeFill="accent2"/>
      </w:tcPr>
    </w:tblStylePr>
    <w:tblStylePr w:type="firstCol">
      <w:rPr>
        <w:b/>
        <w:bCs/>
        <w:i w:val="0"/>
        <w:color w:themeColor="background1"/>
      </w:rPr>
      <w:tblPr/>
      <w:tcPr>
        <w:tcBorders>
          <w:left w:val="single" w:color="FFFFFF" w:themeColor="background1" w:sz="8" w:space="0"/>
          <w:right w:val="single" w:color="FFFFFF" w:themeColor="background1" w:sz="24" w:space="0"/>
          <w:insideH w:val="nil"/>
          <w:insideV w:val="nil"/>
        </w:tcBorders>
        <w:shd w:val="clear" w:color="auto" w:fill="C0504D" w:themeFill="accent2"/>
      </w:tcPr>
    </w:tblStylePr>
    <w:tblStylePr w:type="lastCol">
      <w:rPr>
        <w:b/>
        <w:bCs/>
        <w:i w:val="0"/>
        <w:color w:themeColor="background1"/>
      </w:rPr>
      <w:tblPr/>
      <w:tcPr>
        <w:tcBorders>
          <w:top w:val="nil"/>
          <w:left w:val="single" w:color="FFFFFF" w:themeColor="background1" w:sz="24" w:space="0"/>
          <w:bottom w:val="nil"/>
          <w:right w:val="nil"/>
          <w:insideH w:val="nil"/>
          <w:insideV w:val="nil"/>
        </w:tcBorders>
        <w:shd w:val="clear" w:color="auto" w:fill="C0504D" w:themeFill="accent2"/>
      </w:tcPr>
    </w:tblStylePr>
    <w:tblStylePr w:type="band1Vert">
      <w:tblPr/>
      <w:tcPr>
        <w:tc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nil"/>
          <w:insideV w:val="nil"/>
        </w:tcBorders>
        <w:shd w:val="clear" w:color="auto" w:fill="DFA7A6" w:themeFill="accent2" w:themeFillTint="7f"/>
      </w:tcPr>
    </w:tblStylePr>
    <w:tblStylePr w:type="band1Horz">
      <w:tblPr/>
      <w:tcPr>
        <w:tc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single" w:color="FFFFFF" w:themeColor="background1" w:sz="8" w:space="0"/>
          <w:insideV w:val="single" w:color="FFFFFF" w:themeColor="background1" w:sz="8" w:space="0"/>
        </w:tcBorders>
        <w:shd w:val="clear" w:color="auto" w:fill="DFA7A6" w:themeFill="accent2" w:themeFillTint="7f"/>
      </w:tcPr>
    </w:tblStylePr>
  </w:style>
  <w:style w:type="table" w:styleId="MediumGrid3-Accent3">
    <w:name w:val="Medium Grid 3 Accent 3"/>
    <w:basedOn w:val="TableNormal"/>
    <w:uiPriority w:val="69"/>
    <w:rsid w:val="00cb0664"/>
    <w:pPr>
      <w:spacing w:after="0" w:line="240" w:lineRule="auto"/>
    </w:pPr>
    <w:tblPr>
      <w:tblStyleRowBandSize w:val="1"/>
      <w:tblStyleColBandSize w:val="1"/>
      <w:tbl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single" w:color="FFFFFF" w:themeColor="background1" w:sz="6" w:space="0"/>
        <w:insideV w:val="single" w:color="FFFFFF" w:themeColor="background1" w:sz="6" w:space="0"/>
      </w:tblBorders>
      <w:tblCellMar>
        <w:top w:w="0" w:type="dxa"/>
        <w:left w:w="108" w:type="dxa"/>
        <w:bottom w:w="0" w:type="dxa"/>
        <w:right w:w="108" w:type="dxa"/>
      </w:tblCellMar>
    </w:tblPr>
    <w:tcPr>
      <w:shd w:val="clear" w:color="auto" w:fill="E6EED5" w:themeFill="accent3" w:themeFillTint="3f"/>
    </w:tcPr>
    <w:tblStylePr w:type="firstRow">
      <w:rPr>
        <w:b/>
        <w:bCs/>
        <w:i w:val="0"/>
        <w:color w:themeColor="background1"/>
      </w:rPr>
      <w:tblPr/>
      <w:tcPr>
        <w:tcBorders>
          <w:top w:val="single" w:color="FFFFFF" w:themeColor="background1" w:sz="8" w:space="0"/>
          <w:left w:val="single" w:color="FFFFFF" w:themeColor="background1" w:sz="8" w:space="0"/>
          <w:bottom w:val="single" w:color="FFFFFF" w:themeColor="background1" w:sz="24" w:space="0"/>
          <w:right w:val="single" w:color="FFFFFF" w:themeColor="background1" w:sz="8" w:space="0"/>
          <w:insideH w:val="nil"/>
          <w:insideV w:val="single" w:color="FFFFFF" w:themeColor="background1" w:sz="8" w:space="0"/>
        </w:tcBorders>
        <w:shd w:val="clear" w:color="auto" w:fill="9BBB59" w:themeFill="accent3"/>
      </w:tcPr>
    </w:tblStylePr>
    <w:tblStylePr w:type="lastRow">
      <w:rPr>
        <w:b/>
        <w:bCs/>
        <w:i w:val="0"/>
        <w:color w:themeColor="background1"/>
      </w:rPr>
      <w:tblPr/>
      <w:tcPr>
        <w:tcBorders>
          <w:top w:val="single" w:color="FFFFFF" w:themeColor="background1" w:sz="24" w:space="0"/>
          <w:left w:val="single" w:color="FFFFFF" w:themeColor="background1" w:sz="8" w:space="0"/>
          <w:bottom w:val="single" w:color="FFFFFF" w:themeColor="background1" w:sz="8" w:space="0"/>
          <w:right w:val="single" w:color="FFFFFF" w:themeColor="background1" w:sz="8" w:space="0"/>
          <w:insideH w:val="nil"/>
          <w:insideV w:val="single" w:color="FFFFFF" w:themeColor="background1" w:sz="8" w:space="0"/>
        </w:tcBorders>
        <w:shd w:val="clear" w:color="auto" w:fill="9BBB59" w:themeFill="accent3"/>
      </w:tcPr>
    </w:tblStylePr>
    <w:tblStylePr w:type="firstCol">
      <w:rPr>
        <w:b/>
        <w:bCs/>
        <w:i w:val="0"/>
        <w:color w:themeColor="background1"/>
      </w:rPr>
      <w:tblPr/>
      <w:tcPr>
        <w:tcBorders>
          <w:left w:val="single" w:color="FFFFFF" w:themeColor="background1" w:sz="8" w:space="0"/>
          <w:right w:val="single" w:color="FFFFFF" w:themeColor="background1" w:sz="24" w:space="0"/>
          <w:insideH w:val="nil"/>
          <w:insideV w:val="nil"/>
        </w:tcBorders>
        <w:shd w:val="clear" w:color="auto" w:fill="9BBB59" w:themeFill="accent3"/>
      </w:tcPr>
    </w:tblStylePr>
    <w:tblStylePr w:type="lastCol">
      <w:rPr>
        <w:b/>
        <w:bCs/>
        <w:i w:val="0"/>
        <w:color w:themeColor="background1"/>
      </w:rPr>
      <w:tblPr/>
      <w:tcPr>
        <w:tcBorders>
          <w:top w:val="nil"/>
          <w:left w:val="single" w:color="FFFFFF" w:themeColor="background1" w:sz="24" w:space="0"/>
          <w:bottom w:val="nil"/>
          <w:right w:val="nil"/>
          <w:insideH w:val="nil"/>
          <w:insideV w:val="nil"/>
        </w:tcBorders>
        <w:shd w:val="clear" w:color="auto" w:fill="9BBB59" w:themeFill="accent3"/>
      </w:tcPr>
    </w:tblStylePr>
    <w:tblStylePr w:type="band1Vert">
      <w:tblPr/>
      <w:tcPr>
        <w:tc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nil"/>
          <w:insideV w:val="nil"/>
        </w:tcBorders>
        <w:shd w:val="clear" w:color="auto" w:fill="CDDDAC" w:themeFill="accent3" w:themeFillTint="7f"/>
      </w:tcPr>
    </w:tblStylePr>
    <w:tblStylePr w:type="band1Horz">
      <w:tblPr/>
      <w:tcPr>
        <w:tc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single" w:color="FFFFFF" w:themeColor="background1" w:sz="8" w:space="0"/>
          <w:insideV w:val="single" w:color="FFFFFF" w:themeColor="background1" w:sz="8" w:space="0"/>
        </w:tcBorders>
        <w:shd w:val="clear" w:color="auto" w:fill="CDDDAC" w:themeFill="accent3" w:themeFillTint="7f"/>
      </w:tcPr>
    </w:tblStylePr>
  </w:style>
  <w:style w:type="table" w:styleId="MediumGrid3-Accent4">
    <w:name w:val="Medium Grid 3 Accent 4"/>
    <w:basedOn w:val="TableNormal"/>
    <w:uiPriority w:val="69"/>
    <w:rsid w:val="00cb0664"/>
    <w:pPr>
      <w:spacing w:after="0" w:line="240" w:lineRule="auto"/>
    </w:pPr>
    <w:tblPr>
      <w:tblStyleRowBandSize w:val="1"/>
      <w:tblStyleColBandSize w:val="1"/>
      <w:tbl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single" w:color="FFFFFF" w:themeColor="background1" w:sz="6" w:space="0"/>
        <w:insideV w:val="single" w:color="FFFFFF" w:themeColor="background1" w:sz="6" w:space="0"/>
      </w:tblBorders>
      <w:tblCellMar>
        <w:top w:w="0" w:type="dxa"/>
        <w:left w:w="108" w:type="dxa"/>
        <w:bottom w:w="0" w:type="dxa"/>
        <w:right w:w="108" w:type="dxa"/>
      </w:tblCellMar>
    </w:tblPr>
    <w:tcPr>
      <w:shd w:val="clear" w:color="auto" w:fill="DFD8E8" w:themeFill="accent4" w:themeFillTint="3f"/>
    </w:tcPr>
    <w:tblStylePr w:type="firstRow">
      <w:rPr>
        <w:b/>
        <w:bCs/>
        <w:i w:val="0"/>
        <w:color w:themeColor="background1"/>
      </w:rPr>
      <w:tblPr/>
      <w:tcPr>
        <w:tcBorders>
          <w:top w:val="single" w:color="FFFFFF" w:themeColor="background1" w:sz="8" w:space="0"/>
          <w:left w:val="single" w:color="FFFFFF" w:themeColor="background1" w:sz="8" w:space="0"/>
          <w:bottom w:val="single" w:color="FFFFFF" w:themeColor="background1" w:sz="24" w:space="0"/>
          <w:right w:val="single" w:color="FFFFFF" w:themeColor="background1" w:sz="8" w:space="0"/>
          <w:insideH w:val="nil"/>
          <w:insideV w:val="single" w:color="FFFFFF" w:themeColor="background1" w:sz="8" w:space="0"/>
        </w:tcBorders>
        <w:shd w:val="clear" w:color="auto" w:fill="8064A2" w:themeFill="accent4"/>
      </w:tcPr>
    </w:tblStylePr>
    <w:tblStylePr w:type="lastRow">
      <w:rPr>
        <w:b/>
        <w:bCs/>
        <w:i w:val="0"/>
        <w:color w:themeColor="background1"/>
      </w:rPr>
      <w:tblPr/>
      <w:tcPr>
        <w:tcBorders>
          <w:top w:val="single" w:color="FFFFFF" w:themeColor="background1" w:sz="24" w:space="0"/>
          <w:left w:val="single" w:color="FFFFFF" w:themeColor="background1" w:sz="8" w:space="0"/>
          <w:bottom w:val="single" w:color="FFFFFF" w:themeColor="background1" w:sz="8" w:space="0"/>
          <w:right w:val="single" w:color="FFFFFF" w:themeColor="background1" w:sz="8" w:space="0"/>
          <w:insideH w:val="nil"/>
          <w:insideV w:val="single" w:color="FFFFFF" w:themeColor="background1" w:sz="8" w:space="0"/>
        </w:tcBorders>
        <w:shd w:val="clear" w:color="auto" w:fill="8064A2" w:themeFill="accent4"/>
      </w:tcPr>
    </w:tblStylePr>
    <w:tblStylePr w:type="firstCol">
      <w:rPr>
        <w:b/>
        <w:bCs/>
        <w:i w:val="0"/>
        <w:color w:themeColor="background1"/>
      </w:rPr>
      <w:tblPr/>
      <w:tcPr>
        <w:tcBorders>
          <w:left w:val="single" w:color="FFFFFF" w:themeColor="background1" w:sz="8" w:space="0"/>
          <w:right w:val="single" w:color="FFFFFF" w:themeColor="background1" w:sz="24" w:space="0"/>
          <w:insideH w:val="nil"/>
          <w:insideV w:val="nil"/>
        </w:tcBorders>
        <w:shd w:val="clear" w:color="auto" w:fill="8064A2" w:themeFill="accent4"/>
      </w:tcPr>
    </w:tblStylePr>
    <w:tblStylePr w:type="lastCol">
      <w:rPr>
        <w:b/>
        <w:bCs/>
        <w:i w:val="0"/>
        <w:color w:themeColor="background1"/>
      </w:rPr>
      <w:tblPr/>
      <w:tcPr>
        <w:tcBorders>
          <w:top w:val="nil"/>
          <w:left w:val="single" w:color="FFFFFF" w:themeColor="background1" w:sz="24" w:space="0"/>
          <w:bottom w:val="nil"/>
          <w:right w:val="nil"/>
          <w:insideH w:val="nil"/>
          <w:insideV w:val="nil"/>
        </w:tcBorders>
        <w:shd w:val="clear" w:color="auto" w:fill="8064A2" w:themeFill="accent4"/>
      </w:tcPr>
    </w:tblStylePr>
    <w:tblStylePr w:type="band1Vert">
      <w:tblPr/>
      <w:tcPr>
        <w:tc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nil"/>
          <w:insideV w:val="nil"/>
        </w:tcBorders>
        <w:shd w:val="clear" w:color="auto" w:fill="BFB1D0" w:themeFill="accent4" w:themeFillTint="7f"/>
      </w:tcPr>
    </w:tblStylePr>
    <w:tblStylePr w:type="band1Horz">
      <w:tblPr/>
      <w:tcPr>
        <w:tc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single" w:color="FFFFFF" w:themeColor="background1" w:sz="8" w:space="0"/>
          <w:insideV w:val="single" w:color="FFFFFF" w:themeColor="background1" w:sz="8" w:space="0"/>
        </w:tcBorders>
        <w:shd w:val="clear" w:color="auto" w:fill="BFB1D0" w:themeFill="accent4" w:themeFillTint="7f"/>
      </w:tcPr>
    </w:tblStylePr>
  </w:style>
  <w:style w:type="table" w:styleId="MediumGrid3-Accent5">
    <w:name w:val="Medium Grid 3 Accent 5"/>
    <w:basedOn w:val="TableNormal"/>
    <w:uiPriority w:val="69"/>
    <w:rsid w:val="00cb0664"/>
    <w:pPr>
      <w:spacing w:after="0" w:line="240" w:lineRule="auto"/>
    </w:pPr>
    <w:tblPr>
      <w:tblStyleRowBandSize w:val="1"/>
      <w:tblStyleColBandSize w:val="1"/>
      <w:tbl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single" w:color="FFFFFF" w:themeColor="background1" w:sz="6" w:space="0"/>
        <w:insideV w:val="single" w:color="FFFFFF" w:themeColor="background1" w:sz="6" w:space="0"/>
      </w:tblBorders>
      <w:tblCellMar>
        <w:top w:w="0" w:type="dxa"/>
        <w:left w:w="108" w:type="dxa"/>
        <w:bottom w:w="0" w:type="dxa"/>
        <w:right w:w="108" w:type="dxa"/>
      </w:tblCellMar>
    </w:tblPr>
    <w:tcPr>
      <w:shd w:val="clear" w:color="auto" w:fill="D2EAF1" w:themeFill="accent5" w:themeFillTint="3f"/>
    </w:tcPr>
    <w:tblStylePr w:type="firstRow">
      <w:rPr>
        <w:b/>
        <w:bCs/>
        <w:i w:val="0"/>
        <w:color w:themeColor="background1"/>
      </w:rPr>
      <w:tblPr/>
      <w:tcPr>
        <w:tcBorders>
          <w:top w:val="single" w:color="FFFFFF" w:themeColor="background1" w:sz="8" w:space="0"/>
          <w:left w:val="single" w:color="FFFFFF" w:themeColor="background1" w:sz="8" w:space="0"/>
          <w:bottom w:val="single" w:color="FFFFFF" w:themeColor="background1" w:sz="24" w:space="0"/>
          <w:right w:val="single" w:color="FFFFFF" w:themeColor="background1" w:sz="8" w:space="0"/>
          <w:insideH w:val="nil"/>
          <w:insideV w:val="single" w:color="FFFFFF" w:themeColor="background1" w:sz="8" w:space="0"/>
        </w:tcBorders>
        <w:shd w:val="clear" w:color="auto" w:fill="4BACC6" w:themeFill="accent5"/>
      </w:tcPr>
    </w:tblStylePr>
    <w:tblStylePr w:type="lastRow">
      <w:rPr>
        <w:b/>
        <w:bCs/>
        <w:i w:val="0"/>
        <w:color w:themeColor="background1"/>
      </w:rPr>
      <w:tblPr/>
      <w:tcPr>
        <w:tcBorders>
          <w:top w:val="single" w:color="FFFFFF" w:themeColor="background1" w:sz="24" w:space="0"/>
          <w:left w:val="single" w:color="FFFFFF" w:themeColor="background1" w:sz="8" w:space="0"/>
          <w:bottom w:val="single" w:color="FFFFFF" w:themeColor="background1" w:sz="8" w:space="0"/>
          <w:right w:val="single" w:color="FFFFFF" w:themeColor="background1" w:sz="8" w:space="0"/>
          <w:insideH w:val="nil"/>
          <w:insideV w:val="single" w:color="FFFFFF" w:themeColor="background1" w:sz="8" w:space="0"/>
        </w:tcBorders>
        <w:shd w:val="clear" w:color="auto" w:fill="4BACC6" w:themeFill="accent5"/>
      </w:tcPr>
    </w:tblStylePr>
    <w:tblStylePr w:type="firstCol">
      <w:rPr>
        <w:b/>
        <w:bCs/>
        <w:i w:val="0"/>
        <w:color w:themeColor="background1"/>
      </w:rPr>
      <w:tblPr/>
      <w:tcPr>
        <w:tcBorders>
          <w:left w:val="single" w:color="FFFFFF" w:themeColor="background1" w:sz="8" w:space="0"/>
          <w:right w:val="single" w:color="FFFFFF" w:themeColor="background1" w:sz="24" w:space="0"/>
          <w:insideH w:val="nil"/>
          <w:insideV w:val="nil"/>
        </w:tcBorders>
        <w:shd w:val="clear" w:color="auto" w:fill="4BACC6" w:themeFill="accent5"/>
      </w:tcPr>
    </w:tblStylePr>
    <w:tblStylePr w:type="lastCol">
      <w:rPr>
        <w:b/>
        <w:bCs/>
        <w:i w:val="0"/>
        <w:color w:themeColor="background1"/>
      </w:rPr>
      <w:tblPr/>
      <w:tcPr>
        <w:tcBorders>
          <w:top w:val="nil"/>
          <w:left w:val="single" w:color="FFFFFF" w:themeColor="background1" w:sz="24" w:space="0"/>
          <w:bottom w:val="nil"/>
          <w:right w:val="nil"/>
          <w:insideH w:val="nil"/>
          <w:insideV w:val="nil"/>
        </w:tcBorders>
        <w:shd w:val="clear" w:color="auto" w:fill="4BACC6" w:themeFill="accent5"/>
      </w:tcPr>
    </w:tblStylePr>
    <w:tblStylePr w:type="band1Vert">
      <w:tblPr/>
      <w:tcPr>
        <w:tc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nil"/>
          <w:insideV w:val="nil"/>
        </w:tcBorders>
        <w:shd w:val="clear" w:color="auto" w:fill="A5D5E2" w:themeFill="accent5" w:themeFillTint="7f"/>
      </w:tcPr>
    </w:tblStylePr>
    <w:tblStylePr w:type="band1Horz">
      <w:tblPr/>
      <w:tcPr>
        <w:tc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single" w:color="FFFFFF" w:themeColor="background1" w:sz="8" w:space="0"/>
          <w:insideV w:val="single" w:color="FFFFFF" w:themeColor="background1" w:sz="8" w:space="0"/>
        </w:tcBorders>
        <w:shd w:val="clear" w:color="auto" w:fill="A5D5E2" w:themeFill="accent5" w:themeFillTint="7f"/>
      </w:tcPr>
    </w:tblStylePr>
  </w:style>
  <w:style w:type="table" w:styleId="MediumGrid3-Accent6">
    <w:name w:val="Medium Grid 3 Accent 6"/>
    <w:basedOn w:val="TableNormal"/>
    <w:uiPriority w:val="69"/>
    <w:rsid w:val="00cb0664"/>
    <w:pPr>
      <w:spacing w:after="0" w:line="240" w:lineRule="auto"/>
    </w:pPr>
    <w:tblPr>
      <w:tblStyleRowBandSize w:val="1"/>
      <w:tblStyleColBandSize w:val="1"/>
      <w:tbl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single" w:color="FFFFFF" w:themeColor="background1" w:sz="6" w:space="0"/>
        <w:insideV w:val="single" w:color="FFFFFF" w:themeColor="background1" w:sz="6" w:space="0"/>
      </w:tblBorders>
      <w:tblCellMar>
        <w:top w:w="0" w:type="dxa"/>
        <w:left w:w="108" w:type="dxa"/>
        <w:bottom w:w="0" w:type="dxa"/>
        <w:right w:w="108" w:type="dxa"/>
      </w:tblCellMar>
    </w:tblPr>
    <w:tcPr>
      <w:shd w:val="clear" w:color="auto" w:fill="FDE4D0" w:themeFill="accent6" w:themeFillTint="3f"/>
    </w:tcPr>
    <w:tblStylePr w:type="firstRow">
      <w:rPr>
        <w:b/>
        <w:bCs/>
        <w:i w:val="0"/>
        <w:color w:themeColor="background1"/>
      </w:rPr>
      <w:tblPr/>
      <w:tcPr>
        <w:tcBorders>
          <w:top w:val="single" w:color="FFFFFF" w:themeColor="background1" w:sz="8" w:space="0"/>
          <w:left w:val="single" w:color="FFFFFF" w:themeColor="background1" w:sz="8" w:space="0"/>
          <w:bottom w:val="single" w:color="FFFFFF" w:themeColor="background1" w:sz="24" w:space="0"/>
          <w:right w:val="single" w:color="FFFFFF" w:themeColor="background1" w:sz="8" w:space="0"/>
          <w:insideH w:val="nil"/>
          <w:insideV w:val="single" w:color="FFFFFF" w:themeColor="background1" w:sz="8" w:space="0"/>
        </w:tcBorders>
        <w:shd w:val="clear" w:color="auto" w:fill="F79646" w:themeFill="accent6"/>
      </w:tcPr>
    </w:tblStylePr>
    <w:tblStylePr w:type="lastRow">
      <w:rPr>
        <w:b/>
        <w:bCs/>
        <w:i w:val="0"/>
        <w:color w:themeColor="background1"/>
      </w:rPr>
      <w:tblPr/>
      <w:tcPr>
        <w:tcBorders>
          <w:top w:val="single" w:color="FFFFFF" w:themeColor="background1" w:sz="24" w:space="0"/>
          <w:left w:val="single" w:color="FFFFFF" w:themeColor="background1" w:sz="8" w:space="0"/>
          <w:bottom w:val="single" w:color="FFFFFF" w:themeColor="background1" w:sz="8" w:space="0"/>
          <w:right w:val="single" w:color="FFFFFF" w:themeColor="background1" w:sz="8" w:space="0"/>
          <w:insideH w:val="nil"/>
          <w:insideV w:val="single" w:color="FFFFFF" w:themeColor="background1" w:sz="8" w:space="0"/>
        </w:tcBorders>
        <w:shd w:val="clear" w:color="auto" w:fill="F79646" w:themeFill="accent6"/>
      </w:tcPr>
    </w:tblStylePr>
    <w:tblStylePr w:type="firstCol">
      <w:rPr>
        <w:b/>
        <w:bCs/>
        <w:i w:val="0"/>
        <w:color w:themeColor="background1"/>
      </w:rPr>
      <w:tblPr/>
      <w:tcPr>
        <w:tcBorders>
          <w:left w:val="single" w:color="FFFFFF" w:themeColor="background1" w:sz="8" w:space="0"/>
          <w:right w:val="single" w:color="FFFFFF" w:themeColor="background1" w:sz="24" w:space="0"/>
          <w:insideH w:val="nil"/>
          <w:insideV w:val="nil"/>
        </w:tcBorders>
        <w:shd w:val="clear" w:color="auto" w:fill="F79646" w:themeFill="accent6"/>
      </w:tcPr>
    </w:tblStylePr>
    <w:tblStylePr w:type="lastCol">
      <w:rPr>
        <w:b/>
        <w:bCs/>
        <w:i w:val="0"/>
        <w:color w:themeColor="background1"/>
      </w:rPr>
      <w:tblPr/>
      <w:tcPr>
        <w:tcBorders>
          <w:top w:val="nil"/>
          <w:left w:val="single" w:color="FFFFFF" w:themeColor="background1" w:sz="24" w:space="0"/>
          <w:bottom w:val="nil"/>
          <w:right w:val="nil"/>
          <w:insideH w:val="nil"/>
          <w:insideV w:val="nil"/>
        </w:tcBorders>
        <w:shd w:val="clear" w:color="auto" w:fill="F79646" w:themeFill="accent6"/>
      </w:tcPr>
    </w:tblStylePr>
    <w:tblStylePr w:type="band1Vert">
      <w:tblPr/>
      <w:tcPr>
        <w:tc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nil"/>
          <w:insideV w:val="nil"/>
        </w:tcBorders>
        <w:shd w:val="clear" w:color="auto" w:fill="FBCAA2" w:themeFill="accent6" w:themeFillTint="7f"/>
      </w:tcPr>
    </w:tblStylePr>
    <w:tblStylePr w:type="band1Horz">
      <w:tblPr/>
      <w:tcPr>
        <w:tc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single" w:color="FFFFFF" w:themeColor="background1" w:sz="8" w:space="0"/>
          <w:insideV w:val="single" w:color="FFFFFF" w:themeColor="background1" w:sz="8" w:space="0"/>
        </w:tcBorders>
        <w:shd w:val="clear" w:color="auto" w:fill="FBCAA2" w:themeFill="accent6" w:themeFillTint="7f"/>
      </w:tcPr>
    </w:tblStylePr>
  </w:style>
  <w:style w:type="table" w:styleId="DarkList">
    <w:name w:val="Dark List"/>
    <w:basedOn w:val="TableNormal"/>
    <w:uiPriority w:val="70"/>
    <w:rsid w:val="00cb0664"/>
    <w:pPr>
      <w:spacing w:after="0" w:line="240" w:lineRule="auto"/>
    </w:pPr>
    <w:rPr>
      <w:color w:themeColor="background1"/>
    </w:rPr>
    <w:tblPr>
      <w:tblStyleRowBandSize w:val="1"/>
      <w:tblStyleColBandSize w:val="1"/>
      <w:tblCellMar>
        <w:top w:w="0" w:type="dxa"/>
        <w:left w:w="108" w:type="dxa"/>
        <w:bottom w:w="0" w:type="dxa"/>
        <w:right w:w="108" w:type="dxa"/>
      </w:tblCellMar>
    </w:tblPr>
    <w:tcPr>
      <w:shd w:val="clear" w:color="auto" w:fill="000000" w:themeFill="text1"/>
    </w:tcPr>
    <w:tblStylePr w:type="firstRow">
      <w:rPr>
        <w:b/>
        <w:bCs/>
      </w:rPr>
      <w:tblPr/>
      <w:tcPr>
        <w:tcBorders>
          <w:top w:val="nil"/>
          <w:left w:val="nil"/>
          <w:bottom w:val="single" w:color="FFFFFF" w:themeColor="background1" w:sz="18" w:space="0"/>
          <w:right w:val="nil"/>
          <w:insideH w:val="nil"/>
          <w:insideV w:val="nil"/>
        </w:tcBorders>
        <w:shd w:val="clear" w:color="auto" w:fill="000000" w:themeFill="text1"/>
      </w:tcPr>
    </w:tblStylePr>
    <w:tblStylePr w:type="lastRow">
      <w:tblPr/>
      <w:tcPr>
        <w:tcBorders>
          <w:top w:val="single" w:color="FFFFFF" w:themeColor="background1" w:sz="18" w:space="0"/>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color="FFFFFF" w:themeColor="background1" w:sz="18" w:space="0"/>
          <w:insideH w:val="nil"/>
          <w:insideV w:val="nil"/>
        </w:tcBorders>
        <w:shd w:val="clear" w:color="auto" w:fill="000000" w:themeFill="text1" w:themeFillShade="bf"/>
      </w:tcPr>
    </w:tblStylePr>
    <w:tblStylePr w:type="lastCol">
      <w:tblPr/>
      <w:tcPr>
        <w:tcBorders>
          <w:top w:val="nil"/>
          <w:left w:val="single" w:color="FFFFFF" w:themeColor="background1" w:sz="18" w:space="0"/>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rsid w:val="00cb0664"/>
    <w:pPr>
      <w:spacing w:after="0" w:line="240" w:lineRule="auto"/>
    </w:pPr>
    <w:rPr>
      <w:color w:themeColor="background1"/>
    </w:rPr>
    <w:tblPr>
      <w:tblStyleRowBandSize w:val="1"/>
      <w:tblStyleColBandSize w:val="1"/>
      <w:tblCellMar>
        <w:top w:w="0" w:type="dxa"/>
        <w:left w:w="108" w:type="dxa"/>
        <w:bottom w:w="0" w:type="dxa"/>
        <w:right w:w="108" w:type="dxa"/>
      </w:tblCellMar>
    </w:tblPr>
    <w:tcPr>
      <w:shd w:val="clear" w:color="auto" w:fill="4F81BD" w:themeFill="accent1"/>
    </w:tcPr>
    <w:tblStylePr w:type="firstRow">
      <w:rPr>
        <w:b/>
        <w:bCs/>
      </w:rPr>
      <w:tblPr/>
      <w:tcPr>
        <w:tcBorders>
          <w:top w:val="nil"/>
          <w:left w:val="nil"/>
          <w:bottom w:val="single" w:color="FFFFFF" w:themeColor="background1" w:sz="18" w:space="0"/>
          <w:right w:val="nil"/>
          <w:insideH w:val="nil"/>
          <w:insideV w:val="nil"/>
        </w:tcBorders>
        <w:shd w:val="clear" w:color="auto" w:fill="000000" w:themeFill="text1"/>
      </w:tcPr>
    </w:tblStylePr>
    <w:tblStylePr w:type="lastRow">
      <w:tblPr/>
      <w:tcPr>
        <w:tcBorders>
          <w:top w:val="single" w:color="FFFFFF" w:themeColor="background1" w:sz="18" w:space="0"/>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color="FFFFFF" w:themeColor="background1" w:sz="18" w:space="0"/>
          <w:insideH w:val="nil"/>
          <w:insideV w:val="nil"/>
        </w:tcBorders>
        <w:shd w:val="clear" w:color="auto" w:fill="365F91" w:themeFill="accent1" w:themeFillShade="bf"/>
      </w:tcPr>
    </w:tblStylePr>
    <w:tblStylePr w:type="lastCol">
      <w:tblPr/>
      <w:tcPr>
        <w:tcBorders>
          <w:top w:val="nil"/>
          <w:left w:val="single" w:color="FFFFFF" w:themeColor="background1" w:sz="18" w:space="0"/>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DarkList-Accent2">
    <w:name w:val="Dark List Accent 2"/>
    <w:basedOn w:val="TableNormal"/>
    <w:uiPriority w:val="70"/>
    <w:rsid w:val="00cb0664"/>
    <w:pPr>
      <w:spacing w:after="0" w:line="240" w:lineRule="auto"/>
    </w:pPr>
    <w:rPr>
      <w:color w:themeColor="background1"/>
    </w:rPr>
    <w:tblPr>
      <w:tblStyleRowBandSize w:val="1"/>
      <w:tblStyleColBandSize w:val="1"/>
      <w:tblCellMar>
        <w:top w:w="0" w:type="dxa"/>
        <w:left w:w="108" w:type="dxa"/>
        <w:bottom w:w="0" w:type="dxa"/>
        <w:right w:w="108" w:type="dxa"/>
      </w:tblCellMar>
    </w:tblPr>
    <w:tcPr>
      <w:shd w:val="clear" w:color="auto" w:fill="C0504D" w:themeFill="accent2"/>
    </w:tcPr>
    <w:tblStylePr w:type="firstRow">
      <w:rPr>
        <w:b/>
        <w:bCs/>
      </w:rPr>
      <w:tblPr/>
      <w:tcPr>
        <w:tcBorders>
          <w:top w:val="nil"/>
          <w:left w:val="nil"/>
          <w:bottom w:val="single" w:color="FFFFFF" w:themeColor="background1" w:sz="18" w:space="0"/>
          <w:right w:val="nil"/>
          <w:insideH w:val="nil"/>
          <w:insideV w:val="nil"/>
        </w:tcBorders>
        <w:shd w:val="clear" w:color="auto" w:fill="000000" w:themeFill="text1"/>
      </w:tcPr>
    </w:tblStylePr>
    <w:tblStylePr w:type="lastRow">
      <w:tblPr/>
      <w:tcPr>
        <w:tcBorders>
          <w:top w:val="single" w:color="FFFFFF" w:themeColor="background1" w:sz="18" w:space="0"/>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color="FFFFFF" w:themeColor="background1" w:sz="18" w:space="0"/>
          <w:insideH w:val="nil"/>
          <w:insideV w:val="nil"/>
        </w:tcBorders>
        <w:shd w:val="clear" w:color="auto" w:fill="943634" w:themeFill="accent2" w:themeFillShade="bf"/>
      </w:tcPr>
    </w:tblStylePr>
    <w:tblStylePr w:type="lastCol">
      <w:tblPr/>
      <w:tcPr>
        <w:tcBorders>
          <w:top w:val="nil"/>
          <w:left w:val="single" w:color="FFFFFF" w:themeColor="background1" w:sz="18" w:space="0"/>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DarkList-Accent3">
    <w:name w:val="Dark List Accent 3"/>
    <w:basedOn w:val="TableNormal"/>
    <w:uiPriority w:val="70"/>
    <w:rsid w:val="00cb0664"/>
    <w:pPr>
      <w:spacing w:after="0" w:line="240" w:lineRule="auto"/>
    </w:pPr>
    <w:rPr>
      <w:color w:themeColor="background1"/>
    </w:rPr>
    <w:tblPr>
      <w:tblStyleRowBandSize w:val="1"/>
      <w:tblStyleColBandSize w:val="1"/>
      <w:tblCellMar>
        <w:top w:w="0" w:type="dxa"/>
        <w:left w:w="108" w:type="dxa"/>
        <w:bottom w:w="0" w:type="dxa"/>
        <w:right w:w="108" w:type="dxa"/>
      </w:tblCellMar>
    </w:tblPr>
    <w:tcPr>
      <w:shd w:val="clear" w:color="auto" w:fill="9BBB59" w:themeFill="accent3"/>
    </w:tcPr>
    <w:tblStylePr w:type="firstRow">
      <w:rPr>
        <w:b/>
        <w:bCs/>
      </w:rPr>
      <w:tblPr/>
      <w:tcPr>
        <w:tcBorders>
          <w:top w:val="nil"/>
          <w:left w:val="nil"/>
          <w:bottom w:val="single" w:color="FFFFFF" w:themeColor="background1" w:sz="18" w:space="0"/>
          <w:right w:val="nil"/>
          <w:insideH w:val="nil"/>
          <w:insideV w:val="nil"/>
        </w:tcBorders>
        <w:shd w:val="clear" w:color="auto" w:fill="000000" w:themeFill="text1"/>
      </w:tcPr>
    </w:tblStylePr>
    <w:tblStylePr w:type="lastRow">
      <w:tblPr/>
      <w:tcPr>
        <w:tcBorders>
          <w:top w:val="single" w:color="FFFFFF" w:themeColor="background1" w:sz="18" w:space="0"/>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color="FFFFFF" w:themeColor="background1" w:sz="18" w:space="0"/>
          <w:insideH w:val="nil"/>
          <w:insideV w:val="nil"/>
        </w:tcBorders>
        <w:shd w:val="clear" w:color="auto" w:fill="76923C" w:themeFill="accent3" w:themeFillShade="bf"/>
      </w:tcPr>
    </w:tblStylePr>
    <w:tblStylePr w:type="lastCol">
      <w:tblPr/>
      <w:tcPr>
        <w:tcBorders>
          <w:top w:val="nil"/>
          <w:left w:val="single" w:color="FFFFFF" w:themeColor="background1" w:sz="18" w:space="0"/>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DarkList-Accent4">
    <w:name w:val="Dark List Accent 4"/>
    <w:basedOn w:val="TableNormal"/>
    <w:uiPriority w:val="70"/>
    <w:rsid w:val="00cb0664"/>
    <w:pPr>
      <w:spacing w:after="0" w:line="240" w:lineRule="auto"/>
    </w:pPr>
    <w:rPr>
      <w:color w:themeColor="background1"/>
    </w:rPr>
    <w:tblPr>
      <w:tblStyleRowBandSize w:val="1"/>
      <w:tblStyleColBandSize w:val="1"/>
      <w:tblCellMar>
        <w:top w:w="0" w:type="dxa"/>
        <w:left w:w="108" w:type="dxa"/>
        <w:bottom w:w="0" w:type="dxa"/>
        <w:right w:w="108" w:type="dxa"/>
      </w:tblCellMar>
    </w:tblPr>
    <w:tcPr>
      <w:shd w:val="clear" w:color="auto" w:fill="8064A2" w:themeFill="accent4"/>
    </w:tcPr>
    <w:tblStylePr w:type="firstRow">
      <w:rPr>
        <w:b/>
        <w:bCs/>
      </w:rPr>
      <w:tblPr/>
      <w:tcPr>
        <w:tcBorders>
          <w:top w:val="nil"/>
          <w:left w:val="nil"/>
          <w:bottom w:val="single" w:color="FFFFFF" w:themeColor="background1" w:sz="18" w:space="0"/>
          <w:right w:val="nil"/>
          <w:insideH w:val="nil"/>
          <w:insideV w:val="nil"/>
        </w:tcBorders>
        <w:shd w:val="clear" w:color="auto" w:fill="000000" w:themeFill="text1"/>
      </w:tcPr>
    </w:tblStylePr>
    <w:tblStylePr w:type="lastRow">
      <w:tblPr/>
      <w:tcPr>
        <w:tcBorders>
          <w:top w:val="single" w:color="FFFFFF" w:themeColor="background1" w:sz="18" w:space="0"/>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color="FFFFFF" w:themeColor="background1" w:sz="18" w:space="0"/>
          <w:insideH w:val="nil"/>
          <w:insideV w:val="nil"/>
        </w:tcBorders>
        <w:shd w:val="clear" w:color="auto" w:fill="5F497A" w:themeFill="accent4" w:themeFillShade="bf"/>
      </w:tcPr>
    </w:tblStylePr>
    <w:tblStylePr w:type="lastCol">
      <w:tblPr/>
      <w:tcPr>
        <w:tcBorders>
          <w:top w:val="nil"/>
          <w:left w:val="single" w:color="FFFFFF" w:themeColor="background1" w:sz="18" w:space="0"/>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DarkList-Accent5">
    <w:name w:val="Dark List Accent 5"/>
    <w:basedOn w:val="TableNormal"/>
    <w:uiPriority w:val="70"/>
    <w:rsid w:val="00cb0664"/>
    <w:pPr>
      <w:spacing w:after="0" w:line="240" w:lineRule="auto"/>
    </w:pPr>
    <w:rPr>
      <w:color w:themeColor="background1"/>
    </w:rPr>
    <w:tblPr>
      <w:tblStyleRowBandSize w:val="1"/>
      <w:tblStyleColBandSize w:val="1"/>
      <w:tblCellMar>
        <w:top w:w="0" w:type="dxa"/>
        <w:left w:w="108" w:type="dxa"/>
        <w:bottom w:w="0" w:type="dxa"/>
        <w:right w:w="108" w:type="dxa"/>
      </w:tblCellMar>
    </w:tblPr>
    <w:tcPr>
      <w:shd w:val="clear" w:color="auto" w:fill="4BACC6" w:themeFill="accent5"/>
    </w:tcPr>
    <w:tblStylePr w:type="firstRow">
      <w:rPr>
        <w:b/>
        <w:bCs/>
      </w:rPr>
      <w:tblPr/>
      <w:tcPr>
        <w:tcBorders>
          <w:top w:val="nil"/>
          <w:left w:val="nil"/>
          <w:bottom w:val="single" w:color="FFFFFF" w:themeColor="background1" w:sz="18" w:space="0"/>
          <w:right w:val="nil"/>
          <w:insideH w:val="nil"/>
          <w:insideV w:val="nil"/>
        </w:tcBorders>
        <w:shd w:val="clear" w:color="auto" w:fill="000000" w:themeFill="text1"/>
      </w:tcPr>
    </w:tblStylePr>
    <w:tblStylePr w:type="lastRow">
      <w:tblPr/>
      <w:tcPr>
        <w:tcBorders>
          <w:top w:val="single" w:color="FFFFFF" w:themeColor="background1" w:sz="18" w:space="0"/>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color="FFFFFF" w:themeColor="background1" w:sz="18" w:space="0"/>
          <w:insideH w:val="nil"/>
          <w:insideV w:val="nil"/>
        </w:tcBorders>
        <w:shd w:val="clear" w:color="auto" w:fill="31849B" w:themeFill="accent5" w:themeFillShade="bf"/>
      </w:tcPr>
    </w:tblStylePr>
    <w:tblStylePr w:type="lastCol">
      <w:tblPr/>
      <w:tcPr>
        <w:tcBorders>
          <w:top w:val="nil"/>
          <w:left w:val="single" w:color="FFFFFF" w:themeColor="background1" w:sz="18" w:space="0"/>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DarkList-Accent6">
    <w:name w:val="Dark List Accent 6"/>
    <w:basedOn w:val="TableNormal"/>
    <w:uiPriority w:val="70"/>
    <w:rsid w:val="00cb0664"/>
    <w:pPr>
      <w:spacing w:after="0" w:line="240" w:lineRule="auto"/>
    </w:pPr>
    <w:rPr>
      <w:color w:themeColor="background1"/>
    </w:rPr>
    <w:tblPr>
      <w:tblStyleRowBandSize w:val="1"/>
      <w:tblStyleColBandSize w:val="1"/>
      <w:tblCellMar>
        <w:top w:w="0" w:type="dxa"/>
        <w:left w:w="108" w:type="dxa"/>
        <w:bottom w:w="0" w:type="dxa"/>
        <w:right w:w="108" w:type="dxa"/>
      </w:tblCellMar>
    </w:tblPr>
    <w:tcPr>
      <w:shd w:val="clear" w:color="auto" w:fill="F79646" w:themeFill="accent6"/>
    </w:tcPr>
    <w:tblStylePr w:type="firstRow">
      <w:rPr>
        <w:b/>
        <w:bCs/>
      </w:rPr>
      <w:tblPr/>
      <w:tcPr>
        <w:tcBorders>
          <w:top w:val="nil"/>
          <w:left w:val="nil"/>
          <w:bottom w:val="single" w:color="FFFFFF" w:themeColor="background1" w:sz="18" w:space="0"/>
          <w:right w:val="nil"/>
          <w:insideH w:val="nil"/>
          <w:insideV w:val="nil"/>
        </w:tcBorders>
        <w:shd w:val="clear" w:color="auto" w:fill="000000" w:themeFill="text1"/>
      </w:tcPr>
    </w:tblStylePr>
    <w:tblStylePr w:type="lastRow">
      <w:tblPr/>
      <w:tcPr>
        <w:tcBorders>
          <w:top w:val="single" w:color="FFFFFF" w:themeColor="background1" w:sz="18" w:space="0"/>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color="FFFFFF" w:themeColor="background1" w:sz="18" w:space="0"/>
          <w:insideH w:val="nil"/>
          <w:insideV w:val="nil"/>
        </w:tcBorders>
        <w:shd w:val="clear" w:color="auto" w:fill="E36C0A" w:themeFill="accent6" w:themeFillShade="bf"/>
      </w:tcPr>
    </w:tblStylePr>
    <w:tblStylePr w:type="lastCol">
      <w:tblPr/>
      <w:tcPr>
        <w:tcBorders>
          <w:top w:val="nil"/>
          <w:left w:val="single" w:color="FFFFFF" w:themeColor="background1" w:sz="18" w:space="0"/>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table" w:styleId="ColorfulShading">
    <w:name w:val="Colorful Shading"/>
    <w:basedOn w:val="TableNormal"/>
    <w:uiPriority w:val="71"/>
    <w:rsid w:val="00cb0664"/>
    <w:pPr>
      <w:spacing w:after="0" w:line="240" w:lineRule="auto"/>
    </w:pPr>
    <w:rPr>
      <w:color w:themeColor="text1"/>
    </w:rPr>
    <w:tblPr>
      <w:tblStyleRowBandSize w:val="1"/>
      <w:tblStyleColBandSize w:val="1"/>
      <w:tblBorders>
        <w:top w:val="single" w:color="C0504D" w:themeColor="accent2" w:sz="24" w:space="0"/>
        <w:left w:val="single" w:color="000000" w:themeColor="text1" w:sz="4" w:space="0"/>
        <w:bottom w:val="single" w:color="000000" w:themeColor="text1" w:sz="4" w:space="0"/>
        <w:right w:val="single" w:color="000000" w:themeColor="text1" w:sz="4" w:space="0"/>
        <w:insideH w:val="single" w:color="FFFFFF" w:themeColor="background1" w:sz="4" w:space="0"/>
        <w:insideV w:val="single" w:color="FFFFFF" w:themeColor="background1" w:sz="4" w:space="0"/>
      </w:tblBorders>
      <w:tblCellMar>
        <w:top w:w="0" w:type="dxa"/>
        <w:left w:w="108" w:type="dxa"/>
        <w:bottom w:w="0" w:type="dxa"/>
        <w:right w:w="108" w:type="dxa"/>
      </w:tblCellMar>
    </w:tblPr>
    <w:tcPr>
      <w:shd w:val="clear" w:color="auto" w:fill="E6E6E6" w:themeFill="text1" w:themeFillTint="19"/>
    </w:tcPr>
    <w:tblStylePr w:type="firstRow">
      <w:rPr>
        <w:b/>
        <w:bCs/>
      </w:rPr>
      <w:tblPr/>
      <w:tcPr>
        <w:tcBorders>
          <w:top w:val="nil"/>
          <w:left w:val="nil"/>
          <w:bottom w:val="single" w:color="C0504D" w:themeColor="accent2" w:sz="24" w:space="0"/>
          <w:right w:val="nil"/>
          <w:insideH w:val="nil"/>
          <w:insideV w:val="nil"/>
        </w:tcBorders>
        <w:shd w:val="clear" w:color="auto" w:fill="FFFFFF" w:themeFill="background1"/>
      </w:tcPr>
    </w:tblStylePr>
    <w:tblStylePr w:type="lastRow">
      <w:rPr>
        <w:b/>
        <w:bCs/>
        <w:color w:themeColor="background1"/>
      </w:rPr>
      <w:tblPr/>
      <w:tcPr>
        <w:tcBorders>
          <w:top w:val="single" w:color="FFFFFF" w:themeColor="background1" w:sz="6" w:space="0"/>
        </w:tcBorders>
        <w:shd w:val="clear" w:color="auto" w:fill="000000" w:themeFill="text1" w:themeFillShade="99"/>
      </w:tcPr>
    </w:tblStylePr>
    <w:tblStylePr w:type="firstCol">
      <w:rPr>
        <w:color w:themeColor="background1"/>
      </w:rPr>
      <w:tblPr/>
      <w:tcPr>
        <w:tcBorders>
          <w:top w:val="nil"/>
          <w:left w:val="nil"/>
          <w:bottom w:val="nil"/>
          <w:right w:val="nil"/>
          <w:insideH w:val="single" w:color="000000" w:themeColor="text1" w:sz="4" w:space="0"/>
          <w:insideV w:val="nil"/>
        </w:tcBorders>
        <w:shd w:val="clear" w:color="auto" w:fill="000000" w:themeFill="text1" w:themeFillShade="99"/>
      </w:tcPr>
    </w:tblStylePr>
    <w:tblStylePr w:type="lastCol">
      <w:rPr>
        <w:color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themeColor="text1"/>
      </w:rPr>
      <w:tblPr/>
    </w:tblStylePr>
    <w:tblStylePr w:type="nwCell">
      <w:rPr>
        <w:color w:themeColor="text1"/>
      </w:rPr>
      <w:tblPr/>
    </w:tblStylePr>
  </w:style>
  <w:style w:type="table" w:styleId="ColorfulShading-Accent1">
    <w:name w:val="Colorful Shading Accent 1"/>
    <w:basedOn w:val="TableNormal"/>
    <w:uiPriority w:val="71"/>
    <w:rsid w:val="00cb0664"/>
    <w:pPr>
      <w:spacing w:after="0" w:line="240" w:lineRule="auto"/>
    </w:pPr>
    <w:rPr>
      <w:color w:themeColor="text1"/>
    </w:rPr>
    <w:tblPr>
      <w:tblStyleRowBandSize w:val="1"/>
      <w:tblStyleColBandSize w:val="1"/>
      <w:tblBorders>
        <w:top w:val="single" w:color="C0504D" w:themeColor="accent2" w:sz="24" w:space="0"/>
        <w:left w:val="single" w:color="4F81BD" w:themeColor="accent1" w:sz="4" w:space="0"/>
        <w:bottom w:val="single" w:color="4F81BD" w:themeColor="accent1" w:sz="4" w:space="0"/>
        <w:right w:val="single" w:color="4F81BD" w:themeColor="accent1" w:sz="4" w:space="0"/>
        <w:insideH w:val="single" w:color="FFFFFF" w:themeColor="background1" w:sz="4" w:space="0"/>
        <w:insideV w:val="single" w:color="FFFFFF" w:themeColor="background1" w:sz="4" w:space="0"/>
      </w:tblBorders>
      <w:tblCellMar>
        <w:top w:w="0" w:type="dxa"/>
        <w:left w:w="108" w:type="dxa"/>
        <w:bottom w:w="0" w:type="dxa"/>
        <w:right w:w="108" w:type="dxa"/>
      </w:tblCellMar>
    </w:tblPr>
    <w:tcPr>
      <w:shd w:val="clear" w:color="auto" w:fill="EDF2F8" w:themeFill="accent1" w:themeFillTint="19"/>
    </w:tcPr>
    <w:tblStylePr w:type="firstRow">
      <w:rPr>
        <w:b/>
        <w:bCs/>
      </w:rPr>
      <w:tblPr/>
      <w:tcPr>
        <w:tcBorders>
          <w:top w:val="nil"/>
          <w:left w:val="nil"/>
          <w:bottom w:val="single" w:color="C0504D" w:themeColor="accent2" w:sz="24" w:space="0"/>
          <w:right w:val="nil"/>
          <w:insideH w:val="nil"/>
          <w:insideV w:val="nil"/>
        </w:tcBorders>
        <w:shd w:val="clear" w:color="auto" w:fill="FFFFFF" w:themeFill="background1"/>
      </w:tcPr>
    </w:tblStylePr>
    <w:tblStylePr w:type="lastRow">
      <w:rPr>
        <w:b/>
        <w:bCs/>
        <w:color w:themeColor="background1"/>
      </w:rPr>
      <w:tblPr/>
      <w:tcPr>
        <w:tcBorders>
          <w:top w:val="single" w:color="FFFFFF" w:themeColor="background1" w:sz="6" w:space="0"/>
        </w:tcBorders>
        <w:shd w:val="clear" w:color="auto" w:fill="2C4C74" w:themeFill="accent1" w:themeFillShade="99"/>
      </w:tcPr>
    </w:tblStylePr>
    <w:tblStylePr w:type="firstCol">
      <w:rPr>
        <w:color w:themeColor="background1"/>
      </w:rPr>
      <w:tblPr/>
      <w:tcPr>
        <w:tcBorders>
          <w:top w:val="nil"/>
          <w:left w:val="nil"/>
          <w:bottom w:val="nil"/>
          <w:right w:val="nil"/>
          <w:insideH w:val="single" w:color="2C4C74" w:themeColor="accent1" w:sz="4" w:space="0"/>
          <w:insideV w:val="nil"/>
        </w:tcBorders>
        <w:shd w:val="clear" w:color="auto" w:fill="2C4C74" w:themeFill="accent1" w:themeFillShade="99"/>
      </w:tcPr>
    </w:tblStylePr>
    <w:tblStylePr w:type="lastCol">
      <w:rPr>
        <w:color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themeColor="text1"/>
      </w:rPr>
      <w:tblPr/>
    </w:tblStylePr>
    <w:tblStylePr w:type="nwCell">
      <w:rPr>
        <w:color w:themeColor="text1"/>
      </w:rPr>
      <w:tblPr/>
    </w:tblStylePr>
  </w:style>
  <w:style w:type="table" w:styleId="ColorfulShading-Accent2">
    <w:name w:val="Colorful Shading Accent 2"/>
    <w:basedOn w:val="TableNormal"/>
    <w:uiPriority w:val="71"/>
    <w:rsid w:val="00cb0664"/>
    <w:pPr>
      <w:spacing w:after="0" w:line="240" w:lineRule="auto"/>
    </w:pPr>
    <w:rPr>
      <w:color w:themeColor="text1"/>
    </w:rPr>
    <w:tblPr>
      <w:tblStyleRowBandSize w:val="1"/>
      <w:tblStyleColBandSize w:val="1"/>
      <w:tblBorders>
        <w:top w:val="single" w:color="C0504D" w:themeColor="accent2" w:sz="24" w:space="0"/>
        <w:left w:val="single" w:color="C0504D" w:themeColor="accent2" w:sz="4" w:space="0"/>
        <w:bottom w:val="single" w:color="C0504D" w:themeColor="accent2" w:sz="4" w:space="0"/>
        <w:right w:val="single" w:color="C0504D" w:themeColor="accent2" w:sz="4" w:space="0"/>
        <w:insideH w:val="single" w:color="FFFFFF" w:themeColor="background1" w:sz="4" w:space="0"/>
        <w:insideV w:val="single" w:color="FFFFFF" w:themeColor="background1" w:sz="4" w:space="0"/>
      </w:tblBorders>
      <w:tblCellMar>
        <w:top w:w="0" w:type="dxa"/>
        <w:left w:w="108" w:type="dxa"/>
        <w:bottom w:w="0" w:type="dxa"/>
        <w:right w:w="108" w:type="dxa"/>
      </w:tblCellMar>
    </w:tblPr>
    <w:tcPr>
      <w:shd w:val="clear" w:color="auto" w:fill="F8EDED" w:themeFill="accent2" w:themeFillTint="19"/>
    </w:tcPr>
    <w:tblStylePr w:type="firstRow">
      <w:rPr>
        <w:b/>
        <w:bCs/>
      </w:rPr>
      <w:tblPr/>
      <w:tcPr>
        <w:tcBorders>
          <w:top w:val="nil"/>
          <w:left w:val="nil"/>
          <w:bottom w:val="single" w:color="C0504D" w:themeColor="accent2" w:sz="24" w:space="0"/>
          <w:right w:val="nil"/>
          <w:insideH w:val="nil"/>
          <w:insideV w:val="nil"/>
        </w:tcBorders>
        <w:shd w:val="clear" w:color="auto" w:fill="FFFFFF" w:themeFill="background1"/>
      </w:tcPr>
    </w:tblStylePr>
    <w:tblStylePr w:type="lastRow">
      <w:rPr>
        <w:b/>
        <w:bCs/>
        <w:color w:themeColor="background1"/>
      </w:rPr>
      <w:tblPr/>
      <w:tcPr>
        <w:tcBorders>
          <w:top w:val="single" w:color="FFFFFF" w:themeColor="background1" w:sz="6" w:space="0"/>
        </w:tcBorders>
        <w:shd w:val="clear" w:color="auto" w:fill="772C2A" w:themeFill="accent2" w:themeFillShade="99"/>
      </w:tcPr>
    </w:tblStylePr>
    <w:tblStylePr w:type="firstCol">
      <w:rPr>
        <w:color w:themeColor="background1"/>
      </w:rPr>
      <w:tblPr/>
      <w:tcPr>
        <w:tcBorders>
          <w:top w:val="nil"/>
          <w:left w:val="nil"/>
          <w:bottom w:val="nil"/>
          <w:right w:val="nil"/>
          <w:insideH w:val="single" w:color="772C2A" w:themeColor="accent2" w:sz="4" w:space="0"/>
          <w:insideV w:val="nil"/>
        </w:tcBorders>
        <w:shd w:val="clear" w:color="auto" w:fill="772C2A" w:themeFill="accent2" w:themeFillShade="99"/>
      </w:tcPr>
    </w:tblStylePr>
    <w:tblStylePr w:type="lastCol">
      <w:rPr>
        <w:color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themeColor="text1"/>
      </w:rPr>
      <w:tblPr/>
    </w:tblStylePr>
    <w:tblStylePr w:type="nwCell">
      <w:rPr>
        <w:color w:themeColor="text1"/>
      </w:rPr>
      <w:tblPr/>
    </w:tblStylePr>
  </w:style>
  <w:style w:type="table" w:styleId="ColorfulShading-Accent3">
    <w:name w:val="Colorful Shading Accent 3"/>
    <w:basedOn w:val="TableNormal"/>
    <w:uiPriority w:val="71"/>
    <w:rsid w:val="00cb0664"/>
    <w:pPr>
      <w:spacing w:after="0" w:line="240" w:lineRule="auto"/>
    </w:pPr>
    <w:rPr>
      <w:color w:themeColor="text1"/>
    </w:rPr>
    <w:tblPr>
      <w:tblStyleRowBandSize w:val="1"/>
      <w:tblStyleColBandSize w:val="1"/>
      <w:tblBorders>
        <w:top w:val="single" w:color="8064A2" w:themeColor="accent4" w:sz="24" w:space="0"/>
        <w:left w:val="single" w:color="9BBB59" w:themeColor="accent3" w:sz="4" w:space="0"/>
        <w:bottom w:val="single" w:color="9BBB59" w:themeColor="accent3" w:sz="4" w:space="0"/>
        <w:right w:val="single" w:color="9BBB59" w:themeColor="accent3" w:sz="4" w:space="0"/>
        <w:insideH w:val="single" w:color="FFFFFF" w:themeColor="background1" w:sz="4" w:space="0"/>
        <w:insideV w:val="single" w:color="FFFFFF" w:themeColor="background1" w:sz="4" w:space="0"/>
      </w:tblBorders>
      <w:tblCellMar>
        <w:top w:w="0" w:type="dxa"/>
        <w:left w:w="108" w:type="dxa"/>
        <w:bottom w:w="0" w:type="dxa"/>
        <w:right w:w="108" w:type="dxa"/>
      </w:tblCellMar>
    </w:tblPr>
    <w:tcPr>
      <w:shd w:val="clear" w:color="auto" w:fill="F5F8EE" w:themeFill="accent3" w:themeFillTint="19"/>
    </w:tcPr>
    <w:tblStylePr w:type="firstRow">
      <w:rPr>
        <w:b/>
        <w:bCs/>
      </w:rPr>
      <w:tblPr/>
      <w:tcPr>
        <w:tcBorders>
          <w:top w:val="nil"/>
          <w:left w:val="nil"/>
          <w:bottom w:val="single" w:color="8064A2" w:themeColor="accent4" w:sz="24" w:space="0"/>
          <w:right w:val="nil"/>
          <w:insideH w:val="nil"/>
          <w:insideV w:val="nil"/>
        </w:tcBorders>
        <w:shd w:val="clear" w:color="auto" w:fill="FFFFFF" w:themeFill="background1"/>
      </w:tcPr>
    </w:tblStylePr>
    <w:tblStylePr w:type="lastRow">
      <w:rPr>
        <w:b/>
        <w:bCs/>
        <w:color w:themeColor="background1"/>
      </w:rPr>
      <w:tblPr/>
      <w:tcPr>
        <w:tcBorders>
          <w:top w:val="single" w:color="FFFFFF" w:themeColor="background1" w:sz="6" w:space="0"/>
        </w:tcBorders>
        <w:shd w:val="clear" w:color="auto" w:fill="5E7530" w:themeFill="accent3" w:themeFillShade="99"/>
      </w:tcPr>
    </w:tblStylePr>
    <w:tblStylePr w:type="firstCol">
      <w:rPr>
        <w:color w:themeColor="background1"/>
      </w:rPr>
      <w:tblPr/>
      <w:tcPr>
        <w:tcBorders>
          <w:top w:val="nil"/>
          <w:left w:val="nil"/>
          <w:bottom w:val="nil"/>
          <w:right w:val="nil"/>
          <w:insideH w:val="single" w:color="5E7530" w:themeColor="accent3" w:sz="4" w:space="0"/>
          <w:insideV w:val="nil"/>
        </w:tcBorders>
        <w:shd w:val="clear" w:color="auto" w:fill="5E7530" w:themeFill="accent3" w:themeFillShade="99"/>
      </w:tcPr>
    </w:tblStylePr>
    <w:tblStylePr w:type="lastCol">
      <w:rPr>
        <w:color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ColorfulShading-Accent4">
    <w:name w:val="Colorful Shading Accent 4"/>
    <w:basedOn w:val="TableNormal"/>
    <w:uiPriority w:val="71"/>
    <w:rsid w:val="00cb0664"/>
    <w:pPr>
      <w:spacing w:after="0" w:line="240" w:lineRule="auto"/>
    </w:pPr>
    <w:rPr>
      <w:color w:themeColor="text1"/>
    </w:rPr>
    <w:tblPr>
      <w:tblStyleRowBandSize w:val="1"/>
      <w:tblStyleColBandSize w:val="1"/>
      <w:tblBorders>
        <w:top w:val="single" w:color="9BBB59" w:themeColor="accent3" w:sz="24" w:space="0"/>
        <w:left w:val="single" w:color="8064A2" w:themeColor="accent4" w:sz="4" w:space="0"/>
        <w:bottom w:val="single" w:color="8064A2" w:themeColor="accent4" w:sz="4" w:space="0"/>
        <w:right w:val="single" w:color="8064A2" w:themeColor="accent4" w:sz="4" w:space="0"/>
        <w:insideH w:val="single" w:color="FFFFFF" w:themeColor="background1" w:sz="4" w:space="0"/>
        <w:insideV w:val="single" w:color="FFFFFF" w:themeColor="background1" w:sz="4" w:space="0"/>
      </w:tblBorders>
      <w:tblCellMar>
        <w:top w:w="0" w:type="dxa"/>
        <w:left w:w="108" w:type="dxa"/>
        <w:bottom w:w="0" w:type="dxa"/>
        <w:right w:w="108" w:type="dxa"/>
      </w:tblCellMar>
    </w:tblPr>
    <w:tcPr>
      <w:shd w:val="clear" w:color="auto" w:fill="F2EFF6" w:themeFill="accent4" w:themeFillTint="19"/>
    </w:tcPr>
    <w:tblStylePr w:type="firstRow">
      <w:rPr>
        <w:b/>
        <w:bCs/>
      </w:rPr>
      <w:tblPr/>
      <w:tcPr>
        <w:tcBorders>
          <w:top w:val="nil"/>
          <w:left w:val="nil"/>
          <w:bottom w:val="single" w:color="9BBB59" w:themeColor="accent3" w:sz="24" w:space="0"/>
          <w:right w:val="nil"/>
          <w:insideH w:val="nil"/>
          <w:insideV w:val="nil"/>
        </w:tcBorders>
        <w:shd w:val="clear" w:color="auto" w:fill="FFFFFF" w:themeFill="background1"/>
      </w:tcPr>
    </w:tblStylePr>
    <w:tblStylePr w:type="lastRow">
      <w:rPr>
        <w:b/>
        <w:bCs/>
        <w:color w:themeColor="background1"/>
      </w:rPr>
      <w:tblPr/>
      <w:tcPr>
        <w:tcBorders>
          <w:top w:val="single" w:color="FFFFFF" w:themeColor="background1" w:sz="6" w:space="0"/>
        </w:tcBorders>
        <w:shd w:val="clear" w:color="auto" w:fill="4C3B62" w:themeFill="accent4" w:themeFillShade="99"/>
      </w:tcPr>
    </w:tblStylePr>
    <w:tblStylePr w:type="firstCol">
      <w:rPr>
        <w:color w:themeColor="background1"/>
      </w:rPr>
      <w:tblPr/>
      <w:tcPr>
        <w:tcBorders>
          <w:top w:val="nil"/>
          <w:left w:val="nil"/>
          <w:bottom w:val="nil"/>
          <w:right w:val="nil"/>
          <w:insideH w:val="single" w:color="4C3B62" w:themeColor="accent4" w:sz="4" w:space="0"/>
          <w:insideV w:val="nil"/>
        </w:tcBorders>
        <w:shd w:val="clear" w:color="auto" w:fill="4C3B62" w:themeFill="accent4" w:themeFillShade="99"/>
      </w:tcPr>
    </w:tblStylePr>
    <w:tblStylePr w:type="lastCol">
      <w:rPr>
        <w:color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themeColor="text1"/>
      </w:rPr>
      <w:tblPr/>
    </w:tblStylePr>
    <w:tblStylePr w:type="nwCell">
      <w:rPr>
        <w:color w:themeColor="text1"/>
      </w:rPr>
      <w:tblPr/>
    </w:tblStylePr>
  </w:style>
  <w:style w:type="table" w:styleId="ColorfulShading-Accent5">
    <w:name w:val="Colorful Shading Accent 5"/>
    <w:basedOn w:val="TableNormal"/>
    <w:uiPriority w:val="71"/>
    <w:rsid w:val="00cb0664"/>
    <w:pPr>
      <w:spacing w:after="0" w:line="240" w:lineRule="auto"/>
    </w:pPr>
    <w:rPr>
      <w:color w:themeColor="text1"/>
    </w:rPr>
    <w:tblPr>
      <w:tblStyleRowBandSize w:val="1"/>
      <w:tblStyleColBandSize w:val="1"/>
      <w:tblBorders>
        <w:top w:val="single" w:color="F79646" w:themeColor="accent6" w:sz="24" w:space="0"/>
        <w:left w:val="single" w:color="4BACC6" w:themeColor="accent5" w:sz="4" w:space="0"/>
        <w:bottom w:val="single" w:color="4BACC6" w:themeColor="accent5" w:sz="4" w:space="0"/>
        <w:right w:val="single" w:color="4BACC6" w:themeColor="accent5" w:sz="4" w:space="0"/>
        <w:insideH w:val="single" w:color="FFFFFF" w:themeColor="background1" w:sz="4" w:space="0"/>
        <w:insideV w:val="single" w:color="FFFFFF" w:themeColor="background1" w:sz="4" w:space="0"/>
      </w:tblBorders>
      <w:tblCellMar>
        <w:top w:w="0" w:type="dxa"/>
        <w:left w:w="108" w:type="dxa"/>
        <w:bottom w:w="0" w:type="dxa"/>
        <w:right w:w="108" w:type="dxa"/>
      </w:tblCellMar>
    </w:tblPr>
    <w:tcPr>
      <w:shd w:val="clear" w:color="auto" w:fill="EDF6F9" w:themeFill="accent5" w:themeFillTint="19"/>
    </w:tcPr>
    <w:tblStylePr w:type="firstRow">
      <w:rPr>
        <w:b/>
        <w:bCs/>
      </w:rPr>
      <w:tblPr/>
      <w:tcPr>
        <w:tcBorders>
          <w:top w:val="nil"/>
          <w:left w:val="nil"/>
          <w:bottom w:val="single" w:color="F79646" w:themeColor="accent6" w:sz="24" w:space="0"/>
          <w:right w:val="nil"/>
          <w:insideH w:val="nil"/>
          <w:insideV w:val="nil"/>
        </w:tcBorders>
        <w:shd w:val="clear" w:color="auto" w:fill="FFFFFF" w:themeFill="background1"/>
      </w:tcPr>
    </w:tblStylePr>
    <w:tblStylePr w:type="lastRow">
      <w:rPr>
        <w:b/>
        <w:bCs/>
        <w:color w:themeColor="background1"/>
      </w:rPr>
      <w:tblPr/>
      <w:tcPr>
        <w:tcBorders>
          <w:top w:val="single" w:color="FFFFFF" w:themeColor="background1" w:sz="6" w:space="0"/>
        </w:tcBorders>
        <w:shd w:val="clear" w:color="auto" w:fill="276A7C" w:themeFill="accent5" w:themeFillShade="99"/>
      </w:tcPr>
    </w:tblStylePr>
    <w:tblStylePr w:type="firstCol">
      <w:rPr>
        <w:color w:themeColor="background1"/>
      </w:rPr>
      <w:tblPr/>
      <w:tcPr>
        <w:tcBorders>
          <w:top w:val="nil"/>
          <w:left w:val="nil"/>
          <w:bottom w:val="nil"/>
          <w:right w:val="nil"/>
          <w:insideH w:val="single" w:color="276A7C" w:themeColor="accent5" w:sz="4" w:space="0"/>
          <w:insideV w:val="nil"/>
        </w:tcBorders>
        <w:shd w:val="clear" w:color="auto" w:fill="276A7C" w:themeFill="accent5" w:themeFillShade="99"/>
      </w:tcPr>
    </w:tblStylePr>
    <w:tblStylePr w:type="lastCol">
      <w:rPr>
        <w:color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themeColor="text1"/>
      </w:rPr>
      <w:tblPr/>
    </w:tblStylePr>
    <w:tblStylePr w:type="nwCell">
      <w:rPr>
        <w:color w:themeColor="text1"/>
      </w:rPr>
      <w:tblPr/>
    </w:tblStylePr>
  </w:style>
  <w:style w:type="table" w:styleId="ColorfulShading-Accent6">
    <w:name w:val="Colorful Shading Accent 6"/>
    <w:basedOn w:val="TableNormal"/>
    <w:uiPriority w:val="71"/>
    <w:rsid w:val="00cb0664"/>
    <w:pPr>
      <w:spacing w:after="0" w:line="240" w:lineRule="auto"/>
    </w:pPr>
    <w:rPr>
      <w:color w:themeColor="text1"/>
    </w:rPr>
    <w:tblPr>
      <w:tblStyleRowBandSize w:val="1"/>
      <w:tblStyleColBandSize w:val="1"/>
      <w:tblBorders>
        <w:top w:val="single" w:color="4BACC6" w:themeColor="accent5" w:sz="24" w:space="0"/>
        <w:left w:val="single" w:color="F79646" w:themeColor="accent6" w:sz="4" w:space="0"/>
        <w:bottom w:val="single" w:color="F79646" w:themeColor="accent6" w:sz="4" w:space="0"/>
        <w:right w:val="single" w:color="F79646" w:themeColor="accent6" w:sz="4" w:space="0"/>
        <w:insideH w:val="single" w:color="FFFFFF" w:themeColor="background1" w:sz="4" w:space="0"/>
        <w:insideV w:val="single" w:color="FFFFFF" w:themeColor="background1" w:sz="4" w:space="0"/>
      </w:tblBorders>
      <w:tblCellMar>
        <w:top w:w="0" w:type="dxa"/>
        <w:left w:w="108" w:type="dxa"/>
        <w:bottom w:w="0" w:type="dxa"/>
        <w:right w:w="108" w:type="dxa"/>
      </w:tblCellMar>
    </w:tblPr>
    <w:tcPr>
      <w:shd w:val="clear" w:color="auto" w:fill="FEF4EC" w:themeFill="accent6" w:themeFillTint="19"/>
    </w:tcPr>
    <w:tblStylePr w:type="firstRow">
      <w:rPr>
        <w:b/>
        <w:bCs/>
      </w:rPr>
      <w:tblPr/>
      <w:tcPr>
        <w:tcBorders>
          <w:top w:val="nil"/>
          <w:left w:val="nil"/>
          <w:bottom w:val="single" w:color="4BACC6" w:themeColor="accent5" w:sz="24" w:space="0"/>
          <w:right w:val="nil"/>
          <w:insideH w:val="nil"/>
          <w:insideV w:val="nil"/>
        </w:tcBorders>
        <w:shd w:val="clear" w:color="auto" w:fill="FFFFFF" w:themeFill="background1"/>
      </w:tcPr>
    </w:tblStylePr>
    <w:tblStylePr w:type="lastRow">
      <w:rPr>
        <w:b/>
        <w:bCs/>
        <w:color w:themeColor="background1"/>
      </w:rPr>
      <w:tblPr/>
      <w:tcPr>
        <w:tcBorders>
          <w:top w:val="single" w:color="FFFFFF" w:themeColor="background1" w:sz="6" w:space="0"/>
        </w:tcBorders>
        <w:shd w:val="clear" w:color="auto" w:fill="B65608" w:themeFill="accent6" w:themeFillShade="99"/>
      </w:tcPr>
    </w:tblStylePr>
    <w:tblStylePr w:type="firstCol">
      <w:rPr>
        <w:color w:themeColor="background1"/>
      </w:rPr>
      <w:tblPr/>
      <w:tcPr>
        <w:tcBorders>
          <w:top w:val="nil"/>
          <w:left w:val="nil"/>
          <w:bottom w:val="nil"/>
          <w:right w:val="nil"/>
          <w:insideH w:val="single" w:color="B65608" w:themeColor="accent6" w:sz="4" w:space="0"/>
          <w:insideV w:val="nil"/>
        </w:tcBorders>
        <w:shd w:val="clear" w:color="auto" w:fill="B65608" w:themeFill="accent6" w:themeFillShade="99"/>
      </w:tcPr>
    </w:tblStylePr>
    <w:tblStylePr w:type="lastCol">
      <w:rPr>
        <w:color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themeColor="text1"/>
      </w:rPr>
      <w:tblPr/>
    </w:tblStylePr>
    <w:tblStylePr w:type="nwCell">
      <w:rPr>
        <w:color w:themeColor="text1"/>
      </w:rPr>
      <w:tblPr/>
    </w:tblStylePr>
  </w:style>
  <w:style w:type="table" w:styleId="ColorfulList">
    <w:name w:val="Colorful List"/>
    <w:basedOn w:val="TableNormal"/>
    <w:uiPriority w:val="72"/>
    <w:rsid w:val="00cb0664"/>
    <w:pPr>
      <w:spacing w:after="0" w:line="240" w:lineRule="auto"/>
    </w:pPr>
    <w:rPr>
      <w:color w:themeColor="text1"/>
    </w:rPr>
    <w:tblPr>
      <w:tblStyleRowBandSize w:val="1"/>
      <w:tblStyleColBandSize w:val="1"/>
      <w:tblCellMar>
        <w:top w:w="0" w:type="dxa"/>
        <w:left w:w="108" w:type="dxa"/>
        <w:bottom w:w="0" w:type="dxa"/>
        <w:right w:w="108" w:type="dxa"/>
      </w:tblCellMar>
    </w:tblPr>
    <w:tcPr>
      <w:shd w:val="clear" w:color="auto" w:fill="E6E6E6" w:themeFill="text1" w:themeFillTint="19"/>
    </w:tcPr>
    <w:tblStylePr w:type="firstRow">
      <w:rPr>
        <w:b/>
        <w:bCs/>
        <w:color w:themeColor="background1"/>
      </w:rPr>
      <w:tblPr/>
      <w:tcPr>
        <w:tcBorders>
          <w:bottom w:val="single" w:color="FFFFFF" w:themeColor="background1" w:sz="12" w:space="0"/>
        </w:tcBorders>
        <w:shd w:val="clear" w:color="auto" w:fill="9E3A38" w:themeFill="accent2" w:themeFillShade="cc"/>
      </w:tcPr>
    </w:tblStylePr>
    <w:tblStylePr w:type="lastRow">
      <w:rPr>
        <w:b/>
        <w:bCs/>
        <w:color w:themeColor="accent2" w:themeShade="cc"/>
      </w:rPr>
      <w:tblPr/>
      <w:tcPr>
        <w:tcBorders>
          <w:top w:val="single" w:color="000000" w:themeColor="text1" w:sz="12" w:space="0"/>
        </w:tcBorders>
        <w:shd w:val="clear" w:color="auto" w:fill="FFFFFF" w:themeFill="background1"/>
      </w:tcPr>
    </w:tblStylePr>
    <w:tblStylePr w:type="firstCol">
      <w:rPr>
        <w:b/>
        <w:bCs/>
      </w:rPr>
      <w:tblPr/>
    </w:tblStylePr>
    <w:tblStylePr w:type="lastCol">
      <w:rPr>
        <w:b/>
        <w:bCs/>
      </w:rPr>
      <w:tbl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rsid w:val="00cb0664"/>
    <w:pPr>
      <w:spacing w:after="0" w:line="240" w:lineRule="auto"/>
    </w:pPr>
    <w:rPr>
      <w:color w:themeColor="text1"/>
    </w:rPr>
    <w:tblPr>
      <w:tblStyleRowBandSize w:val="1"/>
      <w:tblStyleColBandSize w:val="1"/>
      <w:tblCellMar>
        <w:top w:w="0" w:type="dxa"/>
        <w:left w:w="108" w:type="dxa"/>
        <w:bottom w:w="0" w:type="dxa"/>
        <w:right w:w="108" w:type="dxa"/>
      </w:tblCellMar>
    </w:tblPr>
    <w:tcPr>
      <w:shd w:val="clear" w:color="auto" w:fill="EDF2F8" w:themeFill="accent1" w:themeFillTint="19"/>
    </w:tcPr>
    <w:tblStylePr w:type="firstRow">
      <w:rPr>
        <w:b/>
        <w:bCs/>
        <w:color w:themeColor="background1"/>
      </w:rPr>
      <w:tblPr/>
      <w:tcPr>
        <w:tcBorders>
          <w:bottom w:val="single" w:color="FFFFFF" w:themeColor="background1" w:sz="12" w:space="0"/>
        </w:tcBorders>
        <w:shd w:val="clear" w:color="auto" w:fill="9E3A38" w:themeFill="accent2" w:themeFillShade="cc"/>
      </w:tcPr>
    </w:tblStylePr>
    <w:tblStylePr w:type="lastRow">
      <w:rPr>
        <w:b/>
        <w:bCs/>
        <w:color w:themeColor="accent2" w:themeShade="cc"/>
      </w:rPr>
      <w:tblPr/>
      <w:tcPr>
        <w:tcBorders>
          <w:top w:val="single" w:color="000000" w:themeColor="text1" w:sz="12" w:space="0"/>
        </w:tcBorders>
        <w:shd w:val="clear" w:color="auto" w:fill="FFFFFF" w:themeFill="background1"/>
      </w:tcPr>
    </w:tblStylePr>
    <w:tblStylePr w:type="firstCol">
      <w:rPr>
        <w:b/>
        <w:bCs/>
      </w:rPr>
      <w:tblPr/>
    </w:tblStylePr>
    <w:tblStylePr w:type="lastCol">
      <w:rPr>
        <w:b/>
        <w:bCs/>
      </w:rPr>
      <w:tbl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ColorfulList-Accent2">
    <w:name w:val="Colorful List Accent 2"/>
    <w:basedOn w:val="TableNormal"/>
    <w:uiPriority w:val="72"/>
    <w:rsid w:val="00cb0664"/>
    <w:pPr>
      <w:spacing w:after="0" w:line="240" w:lineRule="auto"/>
    </w:pPr>
    <w:rPr>
      <w:color w:themeColor="text1"/>
    </w:rPr>
    <w:tblPr>
      <w:tblStyleRowBandSize w:val="1"/>
      <w:tblStyleColBandSize w:val="1"/>
      <w:tblCellMar>
        <w:top w:w="0" w:type="dxa"/>
        <w:left w:w="108" w:type="dxa"/>
        <w:bottom w:w="0" w:type="dxa"/>
        <w:right w:w="108" w:type="dxa"/>
      </w:tblCellMar>
    </w:tblPr>
    <w:tcPr>
      <w:shd w:val="clear" w:color="auto" w:fill="F8EDED" w:themeFill="accent2" w:themeFillTint="19"/>
    </w:tcPr>
    <w:tblStylePr w:type="firstRow">
      <w:rPr>
        <w:b/>
        <w:bCs/>
        <w:color w:themeColor="background1"/>
      </w:rPr>
      <w:tblPr/>
      <w:tcPr>
        <w:tcBorders>
          <w:bottom w:val="single" w:color="FFFFFF" w:themeColor="background1" w:sz="12" w:space="0"/>
        </w:tcBorders>
        <w:shd w:val="clear" w:color="auto" w:fill="9E3A38" w:themeFill="accent2" w:themeFillShade="cc"/>
      </w:tcPr>
    </w:tblStylePr>
    <w:tblStylePr w:type="lastRow">
      <w:rPr>
        <w:b/>
        <w:bCs/>
        <w:color w:themeColor="accent2" w:themeShade="cc"/>
      </w:rPr>
      <w:tblPr/>
      <w:tcPr>
        <w:tcBorders>
          <w:top w:val="single" w:color="000000" w:themeColor="text1" w:sz="12" w:space="0"/>
        </w:tcBorders>
        <w:shd w:val="clear" w:color="auto" w:fill="FFFFFF" w:themeFill="background1"/>
      </w:tcPr>
    </w:tblStylePr>
    <w:tblStylePr w:type="firstCol">
      <w:rPr>
        <w:b/>
        <w:bCs/>
      </w:rPr>
      <w:tblPr/>
    </w:tblStylePr>
    <w:tblStylePr w:type="lastCol">
      <w:rPr>
        <w:b/>
        <w:bCs/>
      </w:rPr>
      <w:tbl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ColorfulList-Accent3">
    <w:name w:val="Colorful List Accent 3"/>
    <w:basedOn w:val="TableNormal"/>
    <w:uiPriority w:val="72"/>
    <w:rsid w:val="00cb0664"/>
    <w:pPr>
      <w:spacing w:after="0" w:line="240" w:lineRule="auto"/>
    </w:pPr>
    <w:rPr>
      <w:color w:themeColor="text1"/>
    </w:rPr>
    <w:tblPr>
      <w:tblStyleRowBandSize w:val="1"/>
      <w:tblStyleColBandSize w:val="1"/>
      <w:tblCellMar>
        <w:top w:w="0" w:type="dxa"/>
        <w:left w:w="108" w:type="dxa"/>
        <w:bottom w:w="0" w:type="dxa"/>
        <w:right w:w="108" w:type="dxa"/>
      </w:tblCellMar>
    </w:tblPr>
    <w:tcPr>
      <w:shd w:val="clear" w:color="auto" w:fill="F5F8EE" w:themeFill="accent3" w:themeFillTint="19"/>
    </w:tcPr>
    <w:tblStylePr w:type="firstRow">
      <w:rPr>
        <w:b/>
        <w:bCs/>
        <w:color w:themeColor="background1"/>
      </w:rPr>
      <w:tblPr/>
      <w:tcPr>
        <w:tcBorders>
          <w:bottom w:val="single" w:color="FFFFFF" w:themeColor="background1" w:sz="12" w:space="0"/>
        </w:tcBorders>
        <w:shd w:val="clear" w:color="auto" w:fill="664E82" w:themeFill="accent4" w:themeFillShade="cc"/>
      </w:tcPr>
    </w:tblStylePr>
    <w:tblStylePr w:type="lastRow">
      <w:rPr>
        <w:b/>
        <w:bCs/>
        <w:color w:themeColor="accent4" w:themeShade="cc"/>
      </w:rPr>
      <w:tblPr/>
      <w:tcPr>
        <w:tcBorders>
          <w:top w:val="single" w:color="000000" w:themeColor="text1" w:sz="12" w:space="0"/>
        </w:tcBorders>
        <w:shd w:val="clear" w:color="auto" w:fill="FFFFFF" w:themeFill="background1"/>
      </w:tcPr>
    </w:tblStylePr>
    <w:tblStylePr w:type="firstCol">
      <w:rPr>
        <w:b/>
        <w:bCs/>
      </w:rPr>
      <w:tblPr/>
    </w:tblStylePr>
    <w:tblStylePr w:type="lastCol">
      <w:rPr>
        <w:b/>
        <w:bCs/>
      </w:rPr>
      <w:tbl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ColorfulList-Accent4">
    <w:name w:val="Colorful List Accent 4"/>
    <w:basedOn w:val="TableNormal"/>
    <w:uiPriority w:val="72"/>
    <w:rsid w:val="00cb0664"/>
    <w:pPr>
      <w:spacing w:after="0" w:line="240" w:lineRule="auto"/>
    </w:pPr>
    <w:rPr>
      <w:color w:themeColor="text1"/>
    </w:rPr>
    <w:tblPr>
      <w:tblStyleRowBandSize w:val="1"/>
      <w:tblStyleColBandSize w:val="1"/>
      <w:tblCellMar>
        <w:top w:w="0" w:type="dxa"/>
        <w:left w:w="108" w:type="dxa"/>
        <w:bottom w:w="0" w:type="dxa"/>
        <w:right w:w="108" w:type="dxa"/>
      </w:tblCellMar>
    </w:tblPr>
    <w:tcPr>
      <w:shd w:val="clear" w:color="auto" w:fill="F2EFF6" w:themeFill="accent4" w:themeFillTint="19"/>
    </w:tcPr>
    <w:tblStylePr w:type="firstRow">
      <w:rPr>
        <w:b/>
        <w:bCs/>
        <w:color w:themeColor="background1"/>
      </w:rPr>
      <w:tblPr/>
      <w:tcPr>
        <w:tcBorders>
          <w:bottom w:val="single" w:color="FFFFFF" w:themeColor="background1" w:sz="12" w:space="0"/>
        </w:tcBorders>
        <w:shd w:val="clear" w:color="auto" w:fill="7E9C40" w:themeFill="accent3" w:themeFillShade="cc"/>
      </w:tcPr>
    </w:tblStylePr>
    <w:tblStylePr w:type="lastRow">
      <w:rPr>
        <w:b/>
        <w:bCs/>
        <w:color w:themeColor="accent3" w:themeShade="cc"/>
      </w:rPr>
      <w:tblPr/>
      <w:tcPr>
        <w:tcBorders>
          <w:top w:val="single" w:color="000000" w:themeColor="text1" w:sz="12" w:space="0"/>
        </w:tcBorders>
        <w:shd w:val="clear" w:color="auto" w:fill="FFFFFF" w:themeFill="background1"/>
      </w:tcPr>
    </w:tblStylePr>
    <w:tblStylePr w:type="firstCol">
      <w:rPr>
        <w:b/>
        <w:bCs/>
      </w:rPr>
      <w:tblPr/>
    </w:tblStylePr>
    <w:tblStylePr w:type="lastCol">
      <w:rPr>
        <w:b/>
        <w:bCs/>
      </w:rPr>
      <w:tbl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ColorfulList-Accent5">
    <w:name w:val="Colorful List Accent 5"/>
    <w:basedOn w:val="TableNormal"/>
    <w:uiPriority w:val="72"/>
    <w:rsid w:val="00cb0664"/>
    <w:pPr>
      <w:spacing w:after="0" w:line="240" w:lineRule="auto"/>
    </w:pPr>
    <w:rPr>
      <w:color w:themeColor="text1"/>
    </w:rPr>
    <w:tblPr>
      <w:tblStyleRowBandSize w:val="1"/>
      <w:tblStyleColBandSize w:val="1"/>
      <w:tblCellMar>
        <w:top w:w="0" w:type="dxa"/>
        <w:left w:w="108" w:type="dxa"/>
        <w:bottom w:w="0" w:type="dxa"/>
        <w:right w:w="108" w:type="dxa"/>
      </w:tblCellMar>
    </w:tblPr>
    <w:tcPr>
      <w:shd w:val="clear" w:color="auto" w:fill="EDF6F9" w:themeFill="accent5" w:themeFillTint="19"/>
    </w:tcPr>
    <w:tblStylePr w:type="firstRow">
      <w:rPr>
        <w:b/>
        <w:bCs/>
        <w:color w:themeColor="background1"/>
      </w:rPr>
      <w:tblPr/>
      <w:tcPr>
        <w:tcBorders>
          <w:bottom w:val="single" w:color="FFFFFF" w:themeColor="background1" w:sz="12" w:space="0"/>
        </w:tcBorders>
        <w:shd w:val="clear" w:color="auto" w:fill="F2730A" w:themeFill="accent6" w:themeFillShade="cc"/>
      </w:tcPr>
    </w:tblStylePr>
    <w:tblStylePr w:type="lastRow">
      <w:rPr>
        <w:b/>
        <w:bCs/>
        <w:color w:themeColor="accent6" w:themeShade="cc"/>
      </w:rPr>
      <w:tblPr/>
      <w:tcPr>
        <w:tcBorders>
          <w:top w:val="single" w:color="000000" w:themeColor="text1" w:sz="12" w:space="0"/>
        </w:tcBorders>
        <w:shd w:val="clear" w:color="auto" w:fill="FFFFFF" w:themeFill="background1"/>
      </w:tcPr>
    </w:tblStylePr>
    <w:tblStylePr w:type="firstCol">
      <w:rPr>
        <w:b/>
        <w:bCs/>
      </w:rPr>
      <w:tblPr/>
    </w:tblStylePr>
    <w:tblStylePr w:type="lastCol">
      <w:rPr>
        <w:b/>
        <w:bCs/>
      </w:rPr>
      <w:tbl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rfulList-Accent6">
    <w:name w:val="Colorful List Accent 6"/>
    <w:basedOn w:val="TableNormal"/>
    <w:uiPriority w:val="72"/>
    <w:rsid w:val="00cb0664"/>
    <w:pPr>
      <w:spacing w:after="0" w:line="240" w:lineRule="auto"/>
    </w:pPr>
    <w:rPr>
      <w:color w:themeColor="text1"/>
    </w:rPr>
    <w:tblPr>
      <w:tblStyleRowBandSize w:val="1"/>
      <w:tblStyleColBandSize w:val="1"/>
      <w:tblCellMar>
        <w:top w:w="0" w:type="dxa"/>
        <w:left w:w="108" w:type="dxa"/>
        <w:bottom w:w="0" w:type="dxa"/>
        <w:right w:w="108" w:type="dxa"/>
      </w:tblCellMar>
    </w:tblPr>
    <w:tcPr>
      <w:shd w:val="clear" w:color="auto" w:fill="FEF4EC" w:themeFill="accent6" w:themeFillTint="19"/>
    </w:tcPr>
    <w:tblStylePr w:type="firstRow">
      <w:rPr>
        <w:b/>
        <w:bCs/>
        <w:color w:themeColor="background1"/>
      </w:rPr>
      <w:tblPr/>
      <w:tcPr>
        <w:tcBorders>
          <w:bottom w:val="single" w:color="FFFFFF" w:themeColor="background1" w:sz="12" w:space="0"/>
        </w:tcBorders>
        <w:shd w:val="clear" w:color="auto" w:fill="348DA5" w:themeFill="accent5" w:themeFillShade="cc"/>
      </w:tcPr>
    </w:tblStylePr>
    <w:tblStylePr w:type="lastRow">
      <w:rPr>
        <w:b/>
        <w:bCs/>
        <w:color w:themeColor="accent5" w:themeShade="cc"/>
      </w:rPr>
      <w:tblPr/>
      <w:tcPr>
        <w:tcBorders>
          <w:top w:val="single" w:color="000000" w:themeColor="text1" w:sz="12" w:space="0"/>
        </w:tcBorders>
        <w:shd w:val="clear" w:color="auto" w:fill="FFFFFF" w:themeFill="background1"/>
      </w:tcPr>
    </w:tblStylePr>
    <w:tblStylePr w:type="firstCol">
      <w:rPr>
        <w:b/>
        <w:bCs/>
      </w:rPr>
      <w:tblPr/>
    </w:tblStylePr>
    <w:tblStylePr w:type="lastCol">
      <w:rPr>
        <w:b/>
        <w:bCs/>
      </w:rPr>
      <w:tbl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ColorfulGrid">
    <w:name w:val="Colorful Grid"/>
    <w:basedOn w:val="TableNormal"/>
    <w:uiPriority w:val="73"/>
    <w:rsid w:val="00cb0664"/>
    <w:pPr>
      <w:spacing w:after="0" w:line="240" w:lineRule="auto"/>
    </w:pPr>
    <w:rPr>
      <w:color w:themeColor="text1"/>
    </w:rPr>
    <w:tblPr>
      <w:tblStyleRowBandSize w:val="1"/>
      <w:tblStyleColBandSize w:val="1"/>
      <w:tblBorders>
        <w:insideH w:val="single" w:color="FFFFFF" w:themeColor="background1" w:sz="4" w:space="0"/>
      </w:tblBorders>
      <w:tblCellMar>
        <w:top w:w="0" w:type="dxa"/>
        <w:left w:w="108" w:type="dxa"/>
        <w:bottom w:w="0" w:type="dxa"/>
        <w:right w:w="108" w:type="dxa"/>
      </w:tblCellMar>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themeColor="text1"/>
      </w:rPr>
      <w:tblPr/>
      <w:tcPr>
        <w:shd w:val="clear" w:color="auto" w:fill="999999" w:themeFill="text1" w:themeFillTint="66"/>
      </w:tcPr>
    </w:tblStylePr>
    <w:tblStylePr w:type="firstCol">
      <w:rPr>
        <w:color w:themeColor="background1"/>
      </w:rPr>
      <w:tblPr/>
      <w:tcPr>
        <w:shd w:val="clear" w:color="auto" w:fill="000000" w:themeFill="text1" w:themeFillShade="bf"/>
      </w:tcPr>
    </w:tblStylePr>
    <w:tblStylePr w:type="lastCol">
      <w:rPr>
        <w:color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rsid w:val="00cb0664"/>
    <w:pPr>
      <w:spacing w:after="0" w:line="240" w:lineRule="auto"/>
    </w:pPr>
    <w:rPr>
      <w:color w:themeColor="text1"/>
    </w:rPr>
    <w:tblPr>
      <w:tblStyleRowBandSize w:val="1"/>
      <w:tblStyleColBandSize w:val="1"/>
      <w:tblBorders>
        <w:insideH w:val="single" w:color="FFFFFF" w:themeColor="background1" w:sz="4" w:space="0"/>
      </w:tblBorders>
      <w:tblCellMar>
        <w:top w:w="0" w:type="dxa"/>
        <w:left w:w="108" w:type="dxa"/>
        <w:bottom w:w="0" w:type="dxa"/>
        <w:right w:w="108" w:type="dxa"/>
      </w:tblCellMar>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themeColor="text1"/>
      </w:rPr>
      <w:tblPr/>
      <w:tcPr>
        <w:shd w:val="clear" w:color="auto" w:fill="B8CCE4" w:themeFill="accent1" w:themeFillTint="66"/>
      </w:tcPr>
    </w:tblStylePr>
    <w:tblStylePr w:type="firstCol">
      <w:rPr>
        <w:color w:themeColor="background1"/>
      </w:rPr>
      <w:tblPr/>
      <w:tcPr>
        <w:shd w:val="clear" w:color="auto" w:fill="365F91" w:themeFill="accent1" w:themeFillShade="bf"/>
      </w:tcPr>
    </w:tblStylePr>
    <w:tblStylePr w:type="lastCol">
      <w:rPr>
        <w:color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olorfulGrid-Accent2">
    <w:name w:val="Colorful Grid Accent 2"/>
    <w:basedOn w:val="TableNormal"/>
    <w:uiPriority w:val="73"/>
    <w:rsid w:val="00cb0664"/>
    <w:pPr>
      <w:spacing w:after="0" w:line="240" w:lineRule="auto"/>
    </w:pPr>
    <w:rPr>
      <w:color w:themeColor="text1"/>
    </w:rPr>
    <w:tblPr>
      <w:tblStyleRowBandSize w:val="1"/>
      <w:tblStyleColBandSize w:val="1"/>
      <w:tblBorders>
        <w:insideH w:val="single" w:color="FFFFFF" w:themeColor="background1" w:sz="4" w:space="0"/>
      </w:tblBorders>
      <w:tblCellMar>
        <w:top w:w="0" w:type="dxa"/>
        <w:left w:w="108" w:type="dxa"/>
        <w:bottom w:w="0" w:type="dxa"/>
        <w:right w:w="108" w:type="dxa"/>
      </w:tblCellMar>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themeColor="text1"/>
      </w:rPr>
      <w:tblPr/>
      <w:tcPr>
        <w:shd w:val="clear" w:color="auto" w:fill="E5B8B7" w:themeFill="accent2" w:themeFillTint="66"/>
      </w:tcPr>
    </w:tblStylePr>
    <w:tblStylePr w:type="firstCol">
      <w:rPr>
        <w:color w:themeColor="background1"/>
      </w:rPr>
      <w:tblPr/>
      <w:tcPr>
        <w:shd w:val="clear" w:color="auto" w:fill="943634" w:themeFill="accent2" w:themeFillShade="bf"/>
      </w:tcPr>
    </w:tblStylePr>
    <w:tblStylePr w:type="lastCol">
      <w:rPr>
        <w:color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ColorfulGrid-Accent3">
    <w:name w:val="Colorful Grid Accent 3"/>
    <w:basedOn w:val="TableNormal"/>
    <w:uiPriority w:val="73"/>
    <w:rsid w:val="00cb0664"/>
    <w:pPr>
      <w:spacing w:after="0" w:line="240" w:lineRule="auto"/>
    </w:pPr>
    <w:rPr>
      <w:color w:themeColor="text1"/>
    </w:rPr>
    <w:tblPr>
      <w:tblStyleRowBandSize w:val="1"/>
      <w:tblStyleColBandSize w:val="1"/>
      <w:tblBorders>
        <w:insideH w:val="single" w:color="FFFFFF" w:themeColor="background1" w:sz="4" w:space="0"/>
      </w:tblBorders>
      <w:tblCellMar>
        <w:top w:w="0" w:type="dxa"/>
        <w:left w:w="108" w:type="dxa"/>
        <w:bottom w:w="0" w:type="dxa"/>
        <w:right w:w="108" w:type="dxa"/>
      </w:tblCellMar>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themeColor="text1"/>
      </w:rPr>
      <w:tblPr/>
      <w:tcPr>
        <w:shd w:val="clear" w:color="auto" w:fill="D6E3BC" w:themeFill="accent3" w:themeFillTint="66"/>
      </w:tcPr>
    </w:tblStylePr>
    <w:tblStylePr w:type="firstCol">
      <w:rPr>
        <w:color w:themeColor="background1"/>
      </w:rPr>
      <w:tblPr/>
      <w:tcPr>
        <w:shd w:val="clear" w:color="auto" w:fill="76923C" w:themeFill="accent3" w:themeFillShade="bf"/>
      </w:tcPr>
    </w:tblStylePr>
    <w:tblStylePr w:type="lastCol">
      <w:rPr>
        <w:color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olorfulGrid-Accent4">
    <w:name w:val="Colorful Grid Accent 4"/>
    <w:basedOn w:val="TableNormal"/>
    <w:uiPriority w:val="73"/>
    <w:rsid w:val="00cb0664"/>
    <w:pPr>
      <w:spacing w:after="0" w:line="240" w:lineRule="auto"/>
    </w:pPr>
    <w:rPr>
      <w:color w:themeColor="text1"/>
    </w:rPr>
    <w:tblPr>
      <w:tblStyleRowBandSize w:val="1"/>
      <w:tblStyleColBandSize w:val="1"/>
      <w:tblBorders>
        <w:insideH w:val="single" w:color="FFFFFF" w:themeColor="background1" w:sz="4" w:space="0"/>
      </w:tblBorders>
      <w:tblCellMar>
        <w:top w:w="0" w:type="dxa"/>
        <w:left w:w="108" w:type="dxa"/>
        <w:bottom w:w="0" w:type="dxa"/>
        <w:right w:w="108" w:type="dxa"/>
      </w:tblCellMar>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themeColor="text1"/>
      </w:rPr>
      <w:tblPr/>
      <w:tcPr>
        <w:shd w:val="clear" w:color="auto" w:fill="CCC0D9" w:themeFill="accent4" w:themeFillTint="66"/>
      </w:tcPr>
    </w:tblStylePr>
    <w:tblStylePr w:type="firstCol">
      <w:rPr>
        <w:color w:themeColor="background1"/>
      </w:rPr>
      <w:tblPr/>
      <w:tcPr>
        <w:shd w:val="clear" w:color="auto" w:fill="5F497A" w:themeFill="accent4" w:themeFillShade="bf"/>
      </w:tcPr>
    </w:tblStylePr>
    <w:tblStylePr w:type="lastCol">
      <w:rPr>
        <w:color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ColorfulGrid-Accent5">
    <w:name w:val="Colorful Grid Accent 5"/>
    <w:basedOn w:val="TableNormal"/>
    <w:uiPriority w:val="73"/>
    <w:rsid w:val="00cb0664"/>
    <w:pPr>
      <w:spacing w:after="0" w:line="240" w:lineRule="auto"/>
    </w:pPr>
    <w:rPr>
      <w:color w:themeColor="text1"/>
    </w:rPr>
    <w:tblPr>
      <w:tblStyleRowBandSize w:val="1"/>
      <w:tblStyleColBandSize w:val="1"/>
      <w:tblBorders>
        <w:insideH w:val="single" w:color="FFFFFF" w:themeColor="background1" w:sz="4" w:space="0"/>
      </w:tblBorders>
      <w:tblCellMar>
        <w:top w:w="0" w:type="dxa"/>
        <w:left w:w="108" w:type="dxa"/>
        <w:bottom w:w="0" w:type="dxa"/>
        <w:right w:w="108" w:type="dxa"/>
      </w:tblCellMar>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themeColor="text1"/>
      </w:rPr>
      <w:tblPr/>
      <w:tcPr>
        <w:shd w:val="clear" w:color="auto" w:fill="B6DDE8" w:themeFill="accent5" w:themeFillTint="66"/>
      </w:tcPr>
    </w:tblStylePr>
    <w:tblStylePr w:type="firstCol">
      <w:rPr>
        <w:color w:themeColor="background1"/>
      </w:rPr>
      <w:tblPr/>
      <w:tcPr>
        <w:shd w:val="clear" w:color="auto" w:fill="31849B" w:themeFill="accent5" w:themeFillShade="bf"/>
      </w:tcPr>
    </w:tblStylePr>
    <w:tblStylePr w:type="lastCol">
      <w:rPr>
        <w:color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olorfulGrid-Accent6">
    <w:name w:val="Colorful Grid Accent 6"/>
    <w:basedOn w:val="TableNormal"/>
    <w:uiPriority w:val="73"/>
    <w:rsid w:val="00cb0664"/>
    <w:pPr>
      <w:spacing w:after="0" w:line="240" w:lineRule="auto"/>
    </w:pPr>
    <w:rPr>
      <w:color w:themeColor="text1"/>
    </w:rPr>
    <w:tblPr>
      <w:tblStyleRowBandSize w:val="1"/>
      <w:tblStyleColBandSize w:val="1"/>
      <w:tblBorders>
        <w:insideH w:val="single" w:color="FFFFFF" w:themeColor="background1" w:sz="4" w:space="0"/>
      </w:tblBorders>
      <w:tblCellMar>
        <w:top w:w="0" w:type="dxa"/>
        <w:left w:w="108" w:type="dxa"/>
        <w:bottom w:w="0" w:type="dxa"/>
        <w:right w:w="108" w:type="dxa"/>
      </w:tblCellMar>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themeColor="text1"/>
      </w:rPr>
      <w:tblPr/>
      <w:tcPr>
        <w:shd w:val="clear" w:color="auto" w:fill="FBD4B4" w:themeFill="accent6" w:themeFillTint="66"/>
      </w:tcPr>
    </w:tblStylePr>
    <w:tblStylePr w:type="firstCol">
      <w:rPr>
        <w:color w:themeColor="background1"/>
      </w:rPr>
      <w:tblPr/>
      <w:tcPr>
        <w:shd w:val="clear" w:color="auto" w:fill="E36C0A" w:themeFill="accent6" w:themeFillShade="bf"/>
      </w:tcPr>
    </w:tblStylePr>
    <w:tblStylePr w:type="lastCol">
      <w:rPr>
        <w:color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s>
</file>

<file path=word/_rels/document.xml.rels><?xml version='1.0' encoding='UTF-8' standalone='yes'?>
<Relationships xmlns="http://schemas.openxmlformats.org/package/2006/relationships"><Relationship Id="rId1" Type="http://schemas.openxmlformats.org/officeDocument/2006/relationships/styles" Target="styles.xml"/><Relationship Id="rId2" Type="http://schemas.openxmlformats.org/officeDocument/2006/relationships/image" Target="media/image1.png"/><Relationship Id="rId3" Type="http://schemas.openxmlformats.org/officeDocument/2006/relationships/image" Target="media/image2.png"/><Relationship Id="rId4" Type="http://schemas.openxmlformats.org/officeDocument/2006/relationships/image" Target="media/image3.png"/><Relationship Id="rId5" Type="http://schemas.openxmlformats.org/officeDocument/2006/relationships/image" Target="media/image4.png"/><Relationship Id="rId6" Type="http://schemas.openxmlformats.org/officeDocument/2006/relationships/image" Target="media/image5.png"/><Relationship Id="rId7" Type="http://schemas.openxmlformats.org/officeDocument/2006/relationships/image" Target="media/image6.png"/><Relationship Id="rId8" Type="http://schemas.openxmlformats.org/officeDocument/2006/relationships/image" Target="media/image7.png"/><Relationship Id="rId9" Type="http://schemas.openxmlformats.org/officeDocument/2006/relationships/image" Target="media/image8.png"/><Relationship Id="rId10" Type="http://schemas.openxmlformats.org/officeDocument/2006/relationships/image" Target="media/image9.png"/><Relationship Id="rId11" Type="http://schemas.openxmlformats.org/officeDocument/2006/relationships/image" Target="media/image10.png"/><Relationship Id="rId12" Type="http://schemas.openxmlformats.org/officeDocument/2006/relationships/image" Target="media/image2.png"/><Relationship Id="rId13" Type="http://schemas.openxmlformats.org/officeDocument/2006/relationships/image" Target="media/image11.png"/><Relationship Id="rId14" Type="http://schemas.openxmlformats.org/officeDocument/2006/relationships/image" Target="media/image6.png"/><Relationship Id="rId15" Type="http://schemas.openxmlformats.org/officeDocument/2006/relationships/image" Target="media/image12.png"/><Relationship Id="rId16" Type="http://schemas.openxmlformats.org/officeDocument/2006/relationships/image" Target="media/image4.png"/><Relationship Id="rId17" Type="http://schemas.openxmlformats.org/officeDocument/2006/relationships/image" Target="media/image9.png"/><Relationship Id="rId18" Type="http://schemas.openxmlformats.org/officeDocument/2006/relationships/image" Target="media/image8.png"/><Relationship Id="rId19" Type="http://schemas.openxmlformats.org/officeDocument/2006/relationships/image" Target="media/image7.png"/><Relationship Id="rId20" Type="http://schemas.openxmlformats.org/officeDocument/2006/relationships/image" Target="media/image13.png"/><Relationship Id="rId21" Type="http://schemas.openxmlformats.org/officeDocument/2006/relationships/image" Target="media/image14.png"/><Relationship Id="rId22" Type="http://schemas.openxmlformats.org/officeDocument/2006/relationships/image" Target="media/image15.png"/><Relationship Id="rId23" Type="http://schemas.openxmlformats.org/officeDocument/2006/relationships/image" Target="media/image16.png"/><Relationship Id="rId24" Type="http://schemas.openxmlformats.org/officeDocument/2006/relationships/image" Target="media/image17.png"/><Relationship Id="rId25" Type="http://schemas.openxmlformats.org/officeDocument/2006/relationships/image" Target="media/image18.png"/><Relationship Id="rId26" Type="http://schemas.openxmlformats.org/officeDocument/2006/relationships/image" Target="media/image19.png"/><Relationship Id="rId27" Type="http://schemas.openxmlformats.org/officeDocument/2006/relationships/image" Target="media/image20.png"/><Relationship Id="rId28" Type="http://schemas.openxmlformats.org/officeDocument/2006/relationships/image" Target="media/image21.png"/><Relationship Id="rId29" Type="http://schemas.openxmlformats.org/officeDocument/2006/relationships/image" Target="media/image22.png"/><Relationship Id="rId30" Type="http://schemas.openxmlformats.org/officeDocument/2006/relationships/image" Target="media/image23.png"/><Relationship Id="rId31" Type="http://schemas.openxmlformats.org/officeDocument/2006/relationships/image" Target="media/image24.png"/><Relationship Id="rId32" Type="http://schemas.openxmlformats.org/officeDocument/2006/relationships/image" Target="media/image25.png"/><Relationship Id="rId33" Type="http://schemas.openxmlformats.org/officeDocument/2006/relationships/image" Target="media/image26.png"/><Relationship Id="rId34" Type="http://schemas.openxmlformats.org/officeDocument/2006/relationships/image" Target="media/image27.png"/><Relationship Id="rId35" Type="http://schemas.openxmlformats.org/officeDocument/2006/relationships/image" Target="media/image28.png"/><Relationship Id="rId36" Type="http://schemas.openxmlformats.org/officeDocument/2006/relationships/image" Target="media/image29.png"/><Relationship Id="rId37" Type="http://schemas.openxmlformats.org/officeDocument/2006/relationships/image" Target="media/image30.png"/><Relationship Id="rId38" Type="http://schemas.openxmlformats.org/officeDocument/2006/relationships/image" Target="media/image31.png"/><Relationship Id="rId39" Type="http://schemas.openxmlformats.org/officeDocument/2006/relationships/header" Target="header1.xml"/><Relationship Id="rId40" Type="http://schemas.openxmlformats.org/officeDocument/2006/relationships/header" Target="header2.xml"/><Relationship Id="rId41" Type="http://schemas.openxmlformats.org/officeDocument/2006/relationships/header" Target="header3.xml"/><Relationship Id="rId42" Type="http://schemas.openxmlformats.org/officeDocument/2006/relationships/footer" Target="footer1.xml"/><Relationship Id="rId43" Type="http://schemas.openxmlformats.org/officeDocument/2006/relationships/footer" Target="footer2.xml"/><Relationship Id="rId44" Type="http://schemas.openxmlformats.org/officeDocument/2006/relationships/footer" Target="footer3.xml"/><Relationship Id="rId45" Type="http://schemas.openxmlformats.org/officeDocument/2006/relationships/numbering" Target="numbering.xml"/><Relationship Id="rId46" Type="http://schemas.openxmlformats.org/officeDocument/2006/relationships/fontTable" Target="fontTable.xml"/><Relationship Id="rId47" Type="http://schemas.openxmlformats.org/officeDocument/2006/relationships/settings" Target="settings.xml"/><Relationship Id="rId48" Type="http://schemas.openxmlformats.org/officeDocument/2006/relationships/theme" Target="theme/theme1.xml"/><Relationship Id="rId49" Type="http://schemas.openxmlformats.org/officeDocument/2006/relationships/customXml" Target="../customXml/item1.xml"/></Relationships>
</file>

<file path=word/theme/theme1.xml><?xml version="1.0" encoding="utf-8"?>
<a:theme xmlns:a="http://schemas.openxmlformats.org/drawingml/2006/main" xmlns:r="http://schemas.openxmlformats.org/officeDocument/2006/relationships" name="Office Theme">
  <a:themeElements>
    <a:clrScheme name="Office">
      <a:dk1>
        <a:srgbClr val="000000"/>
      </a:dk1>
      <a:lt1>
        <a:srgbClr val="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pitchFamily="0" charset="1"/>
        <a:ea typeface=""/>
        <a:cs typeface=""/>
      </a:majorFont>
      <a:minorFont>
        <a:latin typeface="Cambria" pitchFamily="0" charset="1"/>
        <a:ea typeface=""/>
        <a:cs typeface=""/>
      </a:minorFont>
    </a:fontScheme>
    <a:fmtScheme>
      <a:fillStyleLst>
        <a:solidFill>
          <a:schemeClr val="phClr"/>
        </a:solidFill>
        <a:gradFill>
          <a:gsLst>
            <a:gs pos="0">
              <a:schemeClr val="phClr">
                <a:tint val="50000"/>
              </a:schemeClr>
            </a:gs>
            <a:gs pos="35000">
              <a:schemeClr val="phClr">
                <a:tint val="37000"/>
              </a:schemeClr>
            </a:gs>
            <a:gs pos="100000">
              <a:schemeClr val="phClr">
                <a:tint val="15000"/>
              </a:schemeClr>
            </a:gs>
          </a:gsLst>
          <a:lin ang="16200000" scaled="1"/>
          <a:tileRect l="0" t="0" r="0" b="0"/>
        </a:gradFill>
        <a:gradFill>
          <a:gsLst>
            <a:gs pos="0">
              <a:schemeClr val="phClr">
                <a:tint val="100000"/>
                <a:shade val="100000"/>
              </a:schemeClr>
            </a:gs>
            <a:gs pos="100000">
              <a:schemeClr val="phClr">
                <a:tint val="50000"/>
                <a:shade val="100000"/>
              </a:schemeClr>
            </a:gs>
          </a:gsLst>
          <a:lin ang="16200000" scaled="0"/>
          <a:tileRect l="0" t="0" r="0" b="0"/>
        </a:gradFill>
      </a:fillStyleLst>
      <a:lnStyleLst>
        <a:ln w="9525" cap="flat" cmpd="sng" algn="ctr">
          <a:prstDash val="solid"/>
        </a:ln>
        <a:ln w="25400" cap="flat" cmpd="sng" algn="ctr">
          <a:prstDash val="solid"/>
        </a:ln>
        <a:ln w="38100" cap="flat" cmpd="sng" algn="ctr">
          <a:prstDash val="solid"/>
        </a:ln>
      </a:lnStyleLst>
      <a:effectStyleLst>
        <a:effectStyle>
          <a:effectLst/>
        </a:effectStyle>
        <a:effectStyle>
          <a:effectLst/>
        </a:effectStyle>
        <a:effectStyle>
          <a:effectLst/>
        </a:effectStyle>
      </a:effectStyleLst>
      <a:bgFillStyleLst>
        <a:solidFill>
          <a:schemeClr val="phClr"/>
        </a:solidFill>
        <a:gradFill>
          <a:gsLst>
            <a:gs pos="0">
              <a:schemeClr val="phClr">
                <a:tint val="40000"/>
              </a:schemeClr>
            </a:gs>
            <a:gs pos="40000">
              <a:schemeClr val="phClr">
                <a:tint val="45000"/>
                <a:shade val="99000"/>
              </a:schemeClr>
            </a:gs>
            <a:gs pos="100000">
              <a:schemeClr val="phClr">
                <a:shade val="20000"/>
              </a:schemeClr>
            </a:gs>
          </a:gsLst>
          <a:path path="circle">
            <a:fillToRect l="50000" t="-80000" r="50000" b="180000"/>
          </a:path>
          <a:tileRect l="0" t="0" r="0" b="0"/>
        </a:gradFill>
        <a:gradFill>
          <a:gsLst>
            <a:gs pos="0">
              <a:schemeClr val="phClr">
                <a:tint val="80000"/>
              </a:schemeClr>
            </a:gs>
            <a:gs pos="100000">
              <a:schemeClr val="phClr">
                <a:shade val="30000"/>
              </a:schemeClr>
            </a:gs>
          </a:gsLst>
          <a:path path="circle">
            <a:fillToRect l="50000" t="50000" r="50000" b="50000"/>
          </a:path>
          <a:tileRect l="0" t="0" r="0" b="0"/>
        </a:gradFill>
      </a:bgFillStyleLst>
    </a:fmtScheme>
  </a:themeElemen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F278816-EC6F-A645-907D-7F25AECB1D4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769</TotalTime>
  <Application>LibreOffice/24.2.0.3$Windows_X86_64 LibreOffice_project/da48488a73ddd66ea24cf16bbc4f7b9c08e9bea1</Application>
  <AppVersion>15.0000</AppVersion>
  <Pages>64</Pages>
  <Words>5775</Words>
  <Characters>34145</Characters>
  <CharactersWithSpaces>39069</CharactersWithSpaces>
  <Paragraphs>825</Paragraphs>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2013-12-23T23:15:00Z</dcterms:created>
  <dc:creator>python-docx</dc:creator>
  <dc:description>generated by python-docx</dc:description>
  <dc:language>nl-NL</dc:language>
  <cp:lastModifiedBy/>
  <dcterms:modified xsi:type="dcterms:W3CDTF">2025-10-05T10:25:09Z</dcterms:modified>
  <cp:revision>11</cp:revision>
  <dc:subject/>
  <dc:title/>
</cp:coreProperties>
</file>

<file path=docProps/custom.xml><?xml version="1.0" encoding="utf-8"?>
<Properties xmlns="http://schemas.openxmlformats.org/officeDocument/2006/custom-properties" xmlns:vt="http://schemas.openxmlformats.org/officeDocument/2006/docPropsVTypes"/>
</file>