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🌱 Annex G – ESG At‑One‑Glance</w:t>
      </w:r>
    </w:p>
    <w:p>
      <w:r>
        <w:t>Methodology: Impact ratios derived from modelled ESG metrics, based on Terra Vita’s pre‑launch assumptions. Validation will occur post‑launch.</w:t>
      </w:r>
    </w:p>
    <w:p>
      <w:r>
        <w:t>Impact Ratios Table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Metric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Jobs per €35k invested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CO₂ offset per hectare (tons/year)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Community workshops per year (from Y2)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</w:tbl>
    <w:p>
      <w:r>
        <w:t>Key View: Impact ratios make ESG tangible and memorable for investors — linking capital directly to jobs, carbon offsets, and community engagement.</w:t>
      </w:r>
    </w:p>
    <w:p>
      <w:r>
        <w:t>Investor Logic</w:t>
      </w:r>
    </w:p>
    <w:p>
      <w:r>
        <w:t>Jobs: Every €35k invested translates into 1 new job, demonstrating efficiency of capital-to-impact.</w:t>
      </w:r>
    </w:p>
    <w:p>
      <w:r>
        <w:t>Carbon: 5 tons of CO₂ offset per hectare annually strengthens Terra Vita’s climate credentials.</w:t>
      </w:r>
    </w:p>
    <w:p>
      <w:r>
        <w:t>Community: 3 workshops per year embed Terra Vita in the local ecosystem and build trust.</w:t>
      </w:r>
    </w:p>
    <w:p>
      <w:r>
        <w:t>Visual</w:t>
      </w:r>
    </w:p>
    <w:p>
      <w:r>
        <w:drawing>
          <wp:inline xmlns:a="http://schemas.openxmlformats.org/drawingml/2006/main" xmlns:pic="http://schemas.openxmlformats.org/drawingml/2006/picture">
            <wp:extent cx="5029200" cy="3017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G_esg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