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📆 Annex H – Version Journey Timeline</w:t>
      </w:r>
    </w:p>
    <w:p>
      <w:r>
        <w:t>Methodology: Roadmap milestones modelled from Terra Vita’s governance and scaling plan. Forward‑looking estimates; execution will be validated post‑launch.</w:t>
      </w:r>
    </w:p>
    <w:p>
      <w:r>
        <w:t>Version Journey Timeline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Phase</w:t>
            </w:r>
          </w:p>
        </w:tc>
        <w:tc>
          <w:tcPr>
            <w:tcW w:type="dxa" w:w="4320"/>
          </w:tcPr>
          <w:p>
            <w:r>
              <w:t>Milestones</w:t>
            </w:r>
          </w:p>
        </w:tc>
      </w:tr>
      <w:tr>
        <w:tc>
          <w:tcPr>
            <w:tcW w:type="dxa" w:w="4320"/>
          </w:tcPr>
          <w:p>
            <w:r>
              <w:t>Year 1</w:t>
            </w:r>
          </w:p>
        </w:tc>
        <w:tc>
          <w:tcPr>
            <w:tcW w:type="dxa" w:w="4320"/>
          </w:tcPr>
          <w:p>
            <w:r>
              <w:t>Foundation → Infrastructure → Product Prep → Market Activation</w:t>
            </w:r>
          </w:p>
        </w:tc>
      </w:tr>
      <w:tr>
        <w:tc>
          <w:tcPr>
            <w:tcW w:type="dxa" w:w="4320"/>
          </w:tcPr>
          <w:p>
            <w:r>
              <w:t>Year 2</w:t>
            </w:r>
          </w:p>
        </w:tc>
        <w:tc>
          <w:tcPr>
            <w:tcW w:type="dxa" w:w="4320"/>
          </w:tcPr>
          <w:p>
            <w:r>
              <w:t>Scaling lodges, workshops, oils distribution</w:t>
            </w:r>
          </w:p>
        </w:tc>
      </w:tr>
      <w:tr>
        <w:tc>
          <w:tcPr>
            <w:tcW w:type="dxa" w:w="4320"/>
          </w:tcPr>
          <w:p>
            <w:r>
              <w:t>Years 3–5</w:t>
            </w:r>
          </w:p>
        </w:tc>
        <w:tc>
          <w:tcPr>
            <w:tcW w:type="dxa" w:w="4320"/>
          </w:tcPr>
          <w:p>
            <w:r>
              <w:t>Regional eco‑tourism + product diversification</w:t>
            </w:r>
          </w:p>
        </w:tc>
      </w:tr>
    </w:tbl>
    <w:p>
      <w:r>
        <w:t>Key View: Governance close — every milestone intentional, every version logged. The roadmap demonstrates discipline in execution and scaling.</w:t>
      </w:r>
    </w:p>
    <w:p>
      <w:r>
        <w:t>Investor Logic</w:t>
      </w:r>
    </w:p>
    <w:p>
      <w:r>
        <w:t>Year 1: Establishes foundation and market entry readiness.</w:t>
      </w:r>
    </w:p>
    <w:p>
      <w:r>
        <w:t>Year 2: Focused on scaling operations and product lines.</w:t>
      </w:r>
    </w:p>
    <w:p>
      <w:r>
        <w:t>Years 3–5: Expansion into regional eco‑tourism and diversification ensures long‑term resilience.</w:t>
      </w:r>
    </w:p>
    <w:p>
      <w:r>
        <w:t>Visual</w:t>
      </w:r>
    </w:p>
    <w:p>
      <w:r>
        <w:drawing>
          <wp:inline xmlns:a="http://schemas.openxmlformats.org/drawingml/2006/main" xmlns:pic="http://schemas.openxmlformats.org/drawingml/2006/picture">
            <wp:extent cx="54864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H_timelin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